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2" w:rsidRDefault="008B66BC" w:rsidP="00B6105D">
      <w:pPr>
        <w:jc w:val="right"/>
      </w:pPr>
      <w:r w:rsidRPr="008B66B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29.3pt;margin-top:-41.85pt;width:101.2pt;height:35.55pt;z-index:251662848;mso-height-percent:200;mso-height-percent:200;mso-width-relative:margin;mso-height-relative:margin" stroked="f">
            <v:textbox style="mso-fit-shape-to-text:t">
              <w:txbxContent>
                <w:p w:rsidR="00172668" w:rsidRPr="0051727C" w:rsidRDefault="00172668">
                  <w:pPr>
                    <w:rPr>
                      <w:b/>
                    </w:rPr>
                  </w:pPr>
                  <w:r w:rsidRPr="0051727C">
                    <w:rPr>
                      <w:b/>
                    </w:rPr>
                    <w:t xml:space="preserve">Appendix </w:t>
                  </w:r>
                  <w:r w:rsidR="0051727C" w:rsidRPr="0051727C">
                    <w:rPr>
                      <w:b/>
                    </w:rPr>
                    <w:t>'A'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32.7pt;margin-top:101.95pt;width:802.5pt;height:249.9pt;z-index:251659776" fillcolor="#cff" strokecolor="blue" strokeweight="2.25pt">
            <v:fill opacity="36700f"/>
            <v:textbox>
              <w:txbxContent>
                <w:p w:rsidR="00172668" w:rsidRDefault="00172668" w:rsidP="00940CE8">
                  <w:pPr>
                    <w:jc w:val="center"/>
                    <w:rPr>
                      <w:rFonts w:cs="Arial"/>
                      <w:b/>
                      <w:shadow/>
                      <w:color w:val="0000FF"/>
                      <w:sz w:val="72"/>
                      <w:szCs w:val="72"/>
                    </w:rPr>
                  </w:pPr>
                </w:p>
                <w:p w:rsidR="00172668" w:rsidRPr="001165B9" w:rsidRDefault="00172668" w:rsidP="00940CE8">
                  <w:pPr>
                    <w:jc w:val="center"/>
                    <w:rPr>
                      <w:rFonts w:cs="Arial"/>
                      <w:b/>
                      <w:bCs/>
                      <w:shadow/>
                      <w:color w:val="0000FF"/>
                      <w:sz w:val="72"/>
                      <w:szCs w:val="72"/>
                    </w:rPr>
                  </w:pPr>
                  <w:r>
                    <w:rPr>
                      <w:rFonts w:cs="Arial"/>
                      <w:b/>
                      <w:shadow/>
                      <w:color w:val="0000FF"/>
                      <w:sz w:val="72"/>
                      <w:szCs w:val="72"/>
                    </w:rPr>
                    <w:t>Cultural Services</w:t>
                  </w:r>
                </w:p>
                <w:p w:rsidR="00172668" w:rsidRDefault="00172668" w:rsidP="00940CE8">
                  <w:pPr>
                    <w:spacing w:before="120"/>
                    <w:jc w:val="center"/>
                    <w:rPr>
                      <w:rFonts w:cs="Arial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color w:val="0000FF"/>
                      <w:sz w:val="48"/>
                      <w:szCs w:val="48"/>
                    </w:rPr>
                    <w:t>Our c</w:t>
                  </w:r>
                  <w:r w:rsidRPr="001165B9">
                    <w:rPr>
                      <w:rFonts w:cs="Arial"/>
                      <w:b/>
                      <w:color w:val="0000FF"/>
                      <w:sz w:val="48"/>
                      <w:szCs w:val="48"/>
                    </w:rPr>
                    <w:t xml:space="preserve">ore purpose </w:t>
                  </w:r>
                  <w:r>
                    <w:rPr>
                      <w:rFonts w:cs="Arial"/>
                      <w:b/>
                      <w:color w:val="0000FF"/>
                      <w:sz w:val="48"/>
                      <w:szCs w:val="48"/>
                    </w:rPr>
                    <w:t xml:space="preserve">is to ensure that </w:t>
                  </w:r>
                  <w:smartTag w:uri="urn:schemas-microsoft-com:office:smarttags" w:element="place">
                    <w:r>
                      <w:rPr>
                        <w:rFonts w:cs="Arial"/>
                        <w:b/>
                        <w:color w:val="0000FF"/>
                        <w:sz w:val="48"/>
                        <w:szCs w:val="48"/>
                      </w:rPr>
                      <w:t>Lancashire</w:t>
                    </w:r>
                  </w:smartTag>
                  <w:r>
                    <w:rPr>
                      <w:rFonts w:cs="Arial"/>
                      <w:b/>
                      <w:color w:val="0000FF"/>
                      <w:sz w:val="48"/>
                      <w:szCs w:val="48"/>
                    </w:rPr>
                    <w:t xml:space="preserve"> residents and visitors have opportunities for access to, participation in and employment within a wide range of high quality cultural experiences</w:t>
                  </w:r>
                </w:p>
                <w:p w:rsidR="00172668" w:rsidRPr="001165B9" w:rsidRDefault="00172668" w:rsidP="00940CE8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color w:val="0000FF"/>
                      <w:sz w:val="48"/>
                      <w:szCs w:val="48"/>
                    </w:rPr>
                  </w:pPr>
                </w:p>
                <w:p w:rsidR="00172668" w:rsidRPr="00DE0B54" w:rsidRDefault="00172668" w:rsidP="00940CE8">
                  <w:pPr>
                    <w:jc w:val="center"/>
                    <w:rPr>
                      <w:rFonts w:cs="Arial"/>
                      <w:b/>
                      <w:shadow/>
                      <w:color w:val="0000FF"/>
                      <w:sz w:val="52"/>
                      <w:szCs w:val="52"/>
                    </w:rPr>
                  </w:pPr>
                  <w:r>
                    <w:rPr>
                      <w:rFonts w:cs="Arial"/>
                      <w:b/>
                      <w:shadow/>
                      <w:color w:val="0000FF"/>
                      <w:sz w:val="52"/>
                      <w:szCs w:val="52"/>
                    </w:rPr>
                    <w:t>Head of Service</w:t>
                  </w:r>
                  <w:r w:rsidRPr="001165B9">
                    <w:rPr>
                      <w:rFonts w:cs="Arial"/>
                      <w:b/>
                      <w:shadow/>
                      <w:color w:val="0000FF"/>
                      <w:sz w:val="52"/>
                      <w:szCs w:val="52"/>
                    </w:rPr>
                    <w:t xml:space="preserve">: </w:t>
                  </w:r>
                  <w:r>
                    <w:rPr>
                      <w:rFonts w:cs="Arial"/>
                      <w:b/>
                      <w:shadow/>
                      <w:color w:val="0000FF"/>
                      <w:sz w:val="52"/>
                      <w:szCs w:val="52"/>
                    </w:rPr>
                    <w:t>Ian Watson</w:t>
                  </w:r>
                </w:p>
              </w:txbxContent>
            </v:textbox>
            <w10:wrap type="square"/>
          </v:shape>
        </w:pict>
      </w:r>
      <w:r w:rsidR="00DD0157">
        <w:object w:dxaOrig="11189" w:dyaOrig="5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98.9pt" o:ole="">
            <v:imagedata r:id="rId8" o:title=""/>
          </v:shape>
          <o:OLEObject Type="Embed" ProgID="MSPhotoEd.3" ShapeID="_x0000_i1025" DrawAspect="Content" ObjectID="_1378720225" r:id="rId9"/>
        </w:object>
      </w:r>
    </w:p>
    <w:p w:rsidR="00940CE8" w:rsidRPr="005E638E" w:rsidRDefault="00940CE8" w:rsidP="00940CE8">
      <w:pPr>
        <w:tabs>
          <w:tab w:val="left" w:pos="3540"/>
        </w:tabs>
        <w:rPr>
          <w:rFonts w:cs="Arial"/>
          <w:b/>
          <w:bCs/>
          <w:shadow/>
          <w:color w:val="0000FF"/>
          <w:sz w:val="72"/>
        </w:rPr>
      </w:pPr>
    </w:p>
    <w:p w:rsidR="00940CE8" w:rsidRDefault="00940CE8" w:rsidP="00027F41">
      <w:pPr>
        <w:ind w:left="2880" w:firstLine="720"/>
        <w:rPr>
          <w:rFonts w:cs="Arial"/>
          <w:b/>
          <w:bCs/>
          <w:shadow/>
          <w:color w:val="0000FF"/>
          <w:sz w:val="52"/>
          <w:szCs w:val="52"/>
        </w:rPr>
      </w:pPr>
      <w:r w:rsidRPr="001165B9">
        <w:rPr>
          <w:rFonts w:cs="Arial"/>
          <w:b/>
          <w:bCs/>
          <w:shadow/>
          <w:color w:val="0000FF"/>
          <w:sz w:val="52"/>
          <w:szCs w:val="52"/>
        </w:rPr>
        <w:t>Adult and Community Services</w:t>
      </w:r>
    </w:p>
    <w:p w:rsidR="00940CE8" w:rsidRDefault="00940CE8" w:rsidP="00940CE8">
      <w:pPr>
        <w:jc w:val="center"/>
        <w:rPr>
          <w:rFonts w:cs="Arial"/>
          <w:b/>
          <w:bCs/>
          <w:shadow/>
          <w:color w:val="0000FF"/>
          <w:sz w:val="52"/>
          <w:szCs w:val="52"/>
        </w:rPr>
      </w:pPr>
    </w:p>
    <w:p w:rsidR="00940CE8" w:rsidRPr="001165B9" w:rsidRDefault="00940CE8" w:rsidP="00940CE8">
      <w:pPr>
        <w:jc w:val="center"/>
        <w:rPr>
          <w:rFonts w:cs="Arial"/>
          <w:b/>
          <w:bCs/>
          <w:shadow/>
          <w:color w:val="0000FF"/>
          <w:sz w:val="52"/>
          <w:szCs w:val="52"/>
        </w:rPr>
      </w:pPr>
      <w:r w:rsidRPr="001165B9">
        <w:rPr>
          <w:rFonts w:cs="Arial"/>
          <w:b/>
          <w:bCs/>
          <w:shadow/>
          <w:color w:val="0000FF"/>
          <w:sz w:val="52"/>
          <w:szCs w:val="52"/>
        </w:rPr>
        <w:t>Service Level Business Plan</w:t>
      </w:r>
      <w:r>
        <w:rPr>
          <w:rFonts w:cs="Arial"/>
          <w:b/>
          <w:bCs/>
          <w:shadow/>
          <w:color w:val="0000FF"/>
          <w:sz w:val="52"/>
          <w:szCs w:val="52"/>
        </w:rPr>
        <w:t xml:space="preserve"> </w:t>
      </w:r>
      <w:r w:rsidRPr="001165B9">
        <w:rPr>
          <w:rFonts w:cs="Arial"/>
          <w:b/>
          <w:bCs/>
          <w:shadow/>
          <w:color w:val="0000FF"/>
          <w:sz w:val="52"/>
          <w:szCs w:val="52"/>
        </w:rPr>
        <w:t>201</w:t>
      </w:r>
      <w:r w:rsidR="007802AD">
        <w:rPr>
          <w:rFonts w:cs="Arial"/>
          <w:b/>
          <w:bCs/>
          <w:shadow/>
          <w:color w:val="0000FF"/>
          <w:sz w:val="52"/>
          <w:szCs w:val="52"/>
        </w:rPr>
        <w:t>1</w:t>
      </w:r>
      <w:r w:rsidRPr="001165B9">
        <w:rPr>
          <w:rFonts w:cs="Arial"/>
          <w:b/>
          <w:bCs/>
          <w:shadow/>
          <w:color w:val="0000FF"/>
          <w:sz w:val="52"/>
          <w:szCs w:val="52"/>
        </w:rPr>
        <w:t>/1</w:t>
      </w:r>
      <w:r w:rsidR="007802AD">
        <w:rPr>
          <w:rFonts w:cs="Arial"/>
          <w:b/>
          <w:bCs/>
          <w:shadow/>
          <w:color w:val="0000FF"/>
          <w:sz w:val="52"/>
          <w:szCs w:val="52"/>
        </w:rPr>
        <w:t>2</w:t>
      </w:r>
    </w:p>
    <w:p w:rsidR="002D2E48" w:rsidRDefault="002D2E48">
      <w:pPr>
        <w:rPr>
          <w:rFonts w:cs="Arial"/>
          <w:b/>
          <w:bCs/>
          <w:shadow/>
          <w:color w:val="0000FF"/>
          <w:sz w:val="44"/>
        </w:rPr>
        <w:sectPr w:rsidR="002D2E48" w:rsidSect="00FA69E1">
          <w:footerReference w:type="even" r:id="rId10"/>
          <w:footerReference w:type="default" r:id="rId11"/>
          <w:pgSz w:w="16838" w:h="11906" w:orient="landscape" w:code="9"/>
          <w:pgMar w:top="1259" w:right="1134" w:bottom="539" w:left="1134" w:header="709" w:footer="488" w:gutter="0"/>
          <w:cols w:space="720"/>
          <w:titlePg/>
          <w:docGrid w:linePitch="360"/>
        </w:sectPr>
      </w:pPr>
      <w:bookmarkStart w:id="0" w:name="Contents"/>
    </w:p>
    <w:p w:rsidR="00585102" w:rsidRPr="005E638E" w:rsidRDefault="008B66BC" w:rsidP="0060758C">
      <w:pPr>
        <w:spacing w:before="120"/>
        <w:rPr>
          <w:rFonts w:cs="Arial"/>
          <w:b/>
          <w:bCs/>
          <w:shadow/>
          <w:color w:val="0000FF"/>
        </w:rPr>
      </w:pPr>
      <w:r w:rsidRPr="008B66BC">
        <w:rPr>
          <w:rFonts w:cs="Arial"/>
          <w:b/>
          <w:bCs/>
          <w:shadow/>
          <w:noProof/>
          <w:color w:val="0000FF"/>
          <w:sz w:val="20"/>
          <w:lang w:val="en-US"/>
        </w:rPr>
        <w:lastRenderedPageBreak/>
        <w:pict>
          <v:rect id="_x0000_s1026" style="position:absolute;margin-left:-6pt;margin-top:5.55pt;width:738pt;height:36pt;z-index:-251661824" filled="f" fillcolor="#fff200" strokeweight="1pt">
            <v:fill color2="#4d0808"/>
          </v:rect>
        </w:pict>
      </w:r>
      <w:r w:rsidR="00B818C1">
        <w:rPr>
          <w:rFonts w:cs="Arial"/>
          <w:b/>
          <w:bCs/>
          <w:shadow/>
          <w:color w:val="0000FF"/>
          <w:sz w:val="44"/>
        </w:rPr>
        <w:t>C</w:t>
      </w:r>
      <w:r w:rsidR="00585102" w:rsidRPr="005E638E">
        <w:rPr>
          <w:rFonts w:cs="Arial"/>
          <w:b/>
          <w:bCs/>
          <w:shadow/>
          <w:color w:val="0000FF"/>
          <w:sz w:val="44"/>
        </w:rPr>
        <w:t>ontents</w:t>
      </w:r>
      <w:bookmarkEnd w:id="0"/>
      <w:r w:rsidR="00585102" w:rsidRPr="005E638E">
        <w:rPr>
          <w:rFonts w:cs="Arial"/>
          <w:b/>
          <w:bCs/>
          <w:shadow/>
          <w:noProof/>
          <w:color w:val="0000FF"/>
          <w:sz w:val="20"/>
          <w:lang w:val="en-US"/>
        </w:rPr>
        <w:t xml:space="preserve"> </w:t>
      </w:r>
    </w:p>
    <w:p w:rsidR="0060758C" w:rsidRDefault="0060758C">
      <w:pPr>
        <w:pStyle w:val="TOC1"/>
        <w:tabs>
          <w:tab w:val="right" w:leader="dot" w:pos="14560"/>
        </w:tabs>
      </w:pPr>
    </w:p>
    <w:p w:rsidR="0060758C" w:rsidRDefault="0060758C">
      <w:pPr>
        <w:pStyle w:val="TOC1"/>
        <w:tabs>
          <w:tab w:val="right" w:leader="dot" w:pos="14560"/>
        </w:tabs>
      </w:pPr>
    </w:p>
    <w:p w:rsidR="003F6D51" w:rsidRDefault="008B66BC">
      <w:pPr>
        <w:pStyle w:val="TOC1"/>
        <w:tabs>
          <w:tab w:val="right" w:leader="dot" w:pos="14560"/>
        </w:tabs>
        <w:rPr>
          <w:rFonts w:ascii="Times New Roman" w:hAnsi="Times New Roman" w:cs="Mangal"/>
          <w:noProof/>
          <w:color w:val="auto"/>
          <w:sz w:val="24"/>
          <w:lang w:eastAsia="en-GB" w:bidi="hi-IN"/>
        </w:rPr>
      </w:pPr>
      <w:r w:rsidRPr="008B66BC">
        <w:fldChar w:fldCharType="begin"/>
      </w:r>
      <w:r w:rsidR="00886689">
        <w:instrText xml:space="preserve"> TOC \h \z \t "BP Headers,1,BP Heading 1,2,BP Sub Heading,3" </w:instrText>
      </w:r>
      <w:r w:rsidRPr="008B66BC">
        <w:fldChar w:fldCharType="separate"/>
      </w:r>
      <w:hyperlink w:anchor="_Toc283280740" w:history="1">
        <w:r w:rsidR="003F6D51" w:rsidRPr="00025895">
          <w:rPr>
            <w:rStyle w:val="Hyperlink"/>
            <w:noProof/>
          </w:rPr>
          <w:t>Business Plan Introduction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1" w:history="1">
        <w:r w:rsidR="003F6D51" w:rsidRPr="00025895">
          <w:rPr>
            <w:rStyle w:val="Hyperlink"/>
            <w:noProof/>
          </w:rPr>
          <w:t>Purpose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2" w:history="1">
        <w:r w:rsidR="003F6D51" w:rsidRPr="00025895">
          <w:rPr>
            <w:rStyle w:val="Hyperlink"/>
            <w:noProof/>
          </w:rPr>
          <w:t>Value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3" w:history="1">
        <w:r w:rsidR="003F6D51" w:rsidRPr="00025895">
          <w:rPr>
            <w:rStyle w:val="Hyperlink"/>
            <w:noProof/>
          </w:rPr>
          <w:t>Review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1"/>
        <w:tabs>
          <w:tab w:val="right" w:leader="dot" w:pos="14560"/>
        </w:tabs>
        <w:rPr>
          <w:rFonts w:ascii="Times New Roman" w:hAnsi="Times New Roman" w:cs="Mangal"/>
          <w:noProof/>
          <w:color w:val="auto"/>
          <w:sz w:val="24"/>
          <w:lang w:eastAsia="en-GB" w:bidi="hi-IN"/>
        </w:rPr>
      </w:pPr>
      <w:hyperlink w:anchor="_Toc283280744" w:history="1">
        <w:r w:rsidR="003F6D51" w:rsidRPr="00025895">
          <w:rPr>
            <w:rStyle w:val="Hyperlink"/>
            <w:noProof/>
          </w:rPr>
          <w:t>About the service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5" w:history="1">
        <w:r w:rsidR="003F6D51" w:rsidRPr="00025895">
          <w:rPr>
            <w:rStyle w:val="Hyperlink"/>
            <w:noProof/>
          </w:rPr>
          <w:t>Key activities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6" w:history="1">
        <w:r w:rsidR="003F6D51" w:rsidRPr="00025895">
          <w:rPr>
            <w:rStyle w:val="Hyperlink"/>
            <w:noProof/>
          </w:rPr>
          <w:t>Plans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7" w:history="1">
        <w:r w:rsidR="003F6D51" w:rsidRPr="00025895">
          <w:rPr>
            <w:rStyle w:val="Hyperlink"/>
            <w:noProof/>
          </w:rPr>
          <w:t>Accreditations and Awards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8" w:history="1">
        <w:r w:rsidR="003F6D51" w:rsidRPr="00025895">
          <w:rPr>
            <w:rStyle w:val="Hyperlink"/>
            <w:noProof/>
          </w:rPr>
          <w:t>Resources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49" w:history="1">
        <w:r w:rsidR="003F6D51" w:rsidRPr="00025895">
          <w:rPr>
            <w:rStyle w:val="Hyperlink"/>
            <w:noProof/>
          </w:rPr>
          <w:t>Who we are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50" w:history="1">
        <w:r w:rsidR="003F6D51" w:rsidRPr="00025895">
          <w:rPr>
            <w:rStyle w:val="Hyperlink"/>
            <w:noProof/>
          </w:rPr>
          <w:t>Partnerships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1"/>
        <w:tabs>
          <w:tab w:val="right" w:leader="dot" w:pos="14560"/>
        </w:tabs>
        <w:rPr>
          <w:rFonts w:ascii="Times New Roman" w:hAnsi="Times New Roman" w:cs="Mangal"/>
          <w:noProof/>
          <w:color w:val="auto"/>
          <w:sz w:val="24"/>
          <w:lang w:eastAsia="en-GB" w:bidi="hi-IN"/>
        </w:rPr>
      </w:pPr>
      <w:hyperlink w:anchor="_Toc283280751" w:history="1">
        <w:r w:rsidR="003F6D51" w:rsidRPr="00025895">
          <w:rPr>
            <w:rStyle w:val="Hyperlink"/>
            <w:noProof/>
          </w:rPr>
          <w:t>Service Overview – 2010/11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52" w:history="1">
        <w:r w:rsidR="003F6D51" w:rsidRPr="00025895">
          <w:rPr>
            <w:rStyle w:val="Hyperlink"/>
            <w:noProof/>
          </w:rPr>
          <w:t>In 2010/11: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53" w:history="1">
        <w:r w:rsidR="003F6D51" w:rsidRPr="00025895">
          <w:rPr>
            <w:rStyle w:val="Hyperlink"/>
            <w:noProof/>
          </w:rPr>
          <w:t>Our Successes were: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54" w:history="1">
        <w:r w:rsidR="003F6D51" w:rsidRPr="00025895">
          <w:rPr>
            <w:rStyle w:val="Hyperlink"/>
            <w:noProof/>
          </w:rPr>
          <w:t>Our Performance was: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55" w:history="1">
        <w:r w:rsidR="003F6D51" w:rsidRPr="00025895">
          <w:rPr>
            <w:rStyle w:val="Hyperlink"/>
            <w:noProof/>
          </w:rPr>
          <w:t>Our Customers said the following about us: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56" w:history="1">
        <w:r w:rsidR="003F6D51" w:rsidRPr="00025895">
          <w:rPr>
            <w:rStyle w:val="Hyperlink"/>
            <w:noProof/>
          </w:rPr>
          <w:t>Our Service Changed in the following ways: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1"/>
        <w:tabs>
          <w:tab w:val="right" w:leader="dot" w:pos="14560"/>
        </w:tabs>
        <w:rPr>
          <w:rFonts w:ascii="Times New Roman" w:hAnsi="Times New Roman" w:cs="Mangal"/>
          <w:noProof/>
          <w:color w:val="auto"/>
          <w:sz w:val="24"/>
          <w:lang w:eastAsia="en-GB" w:bidi="hi-IN"/>
        </w:rPr>
      </w:pPr>
      <w:hyperlink w:anchor="_Toc283280757" w:history="1">
        <w:r w:rsidR="003F6D51" w:rsidRPr="00025895">
          <w:rPr>
            <w:rStyle w:val="Hyperlink"/>
            <w:noProof/>
          </w:rPr>
          <w:t>How we will contribute to the Directorate and Corporate Vision in 2011/12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1"/>
        <w:tabs>
          <w:tab w:val="right" w:leader="dot" w:pos="14560"/>
        </w:tabs>
        <w:rPr>
          <w:rFonts w:ascii="Times New Roman" w:hAnsi="Times New Roman" w:cs="Mangal"/>
          <w:noProof/>
          <w:color w:val="auto"/>
          <w:sz w:val="24"/>
          <w:lang w:eastAsia="en-GB" w:bidi="hi-IN"/>
        </w:rPr>
      </w:pPr>
      <w:hyperlink w:anchor="_Toc283280758" w:history="1">
        <w:r w:rsidR="003F6D51" w:rsidRPr="00025895">
          <w:rPr>
            <w:rStyle w:val="Hyperlink"/>
            <w:noProof/>
          </w:rPr>
          <w:t>Looking Ahead to 2012 - 2013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59" w:history="1">
        <w:r w:rsidR="003F6D51" w:rsidRPr="00025895">
          <w:rPr>
            <w:rStyle w:val="Hyperlink"/>
            <w:noProof/>
          </w:rPr>
          <w:t>Looking ahead we would like to: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1"/>
        <w:tabs>
          <w:tab w:val="right" w:leader="dot" w:pos="14560"/>
        </w:tabs>
        <w:rPr>
          <w:rFonts w:ascii="Times New Roman" w:hAnsi="Times New Roman" w:cs="Mangal"/>
          <w:noProof/>
          <w:color w:val="auto"/>
          <w:sz w:val="24"/>
          <w:lang w:eastAsia="en-GB" w:bidi="hi-IN"/>
        </w:rPr>
      </w:pPr>
      <w:hyperlink w:anchor="_Toc283280760" w:history="1">
        <w:r w:rsidR="003F6D51" w:rsidRPr="00025895">
          <w:rPr>
            <w:rStyle w:val="Hyperlink"/>
            <w:noProof/>
          </w:rPr>
          <w:t>Background Information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61" w:history="1">
        <w:r w:rsidR="003F6D51" w:rsidRPr="00025895">
          <w:rPr>
            <w:rStyle w:val="Hyperlink"/>
            <w:noProof/>
          </w:rPr>
          <w:t>Service Structure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62" w:history="1">
        <w:r w:rsidR="003F6D51" w:rsidRPr="00025895">
          <w:rPr>
            <w:rStyle w:val="Hyperlink"/>
            <w:noProof/>
          </w:rPr>
          <w:t>Service SWOT Analysis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F6D51" w:rsidRDefault="008B66BC">
      <w:pPr>
        <w:pStyle w:val="TOC2"/>
        <w:tabs>
          <w:tab w:val="right" w:leader="dot" w:pos="14560"/>
        </w:tabs>
        <w:rPr>
          <w:rFonts w:ascii="Times New Roman" w:hAnsi="Times New Roman" w:cs="Mangal"/>
          <w:noProof/>
          <w:lang w:eastAsia="en-GB" w:bidi="hi-IN"/>
        </w:rPr>
      </w:pPr>
      <w:hyperlink w:anchor="_Toc283280763" w:history="1">
        <w:r w:rsidR="003F6D51" w:rsidRPr="00025895">
          <w:rPr>
            <w:rStyle w:val="Hyperlink"/>
            <w:noProof/>
          </w:rPr>
          <w:t>Other Useful Links</w:t>
        </w:r>
        <w:r w:rsidR="003F6D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6D51">
          <w:rPr>
            <w:noProof/>
            <w:webHidden/>
          </w:rPr>
          <w:instrText xml:space="preserve"> PAGEREF _Toc283280763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66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85102" w:rsidRDefault="008B66BC" w:rsidP="0015656E">
      <w:r>
        <w:fldChar w:fldCharType="end"/>
      </w:r>
    </w:p>
    <w:p w:rsidR="00F13CBE" w:rsidRDefault="00F13CBE" w:rsidP="0015656E"/>
    <w:p w:rsidR="00F13CBE" w:rsidRDefault="00F13CBE" w:rsidP="0015656E"/>
    <w:p w:rsidR="003F6D51" w:rsidRDefault="003F6D51" w:rsidP="0015656E"/>
    <w:p w:rsidR="003F6D51" w:rsidRDefault="003F6D51" w:rsidP="0015656E"/>
    <w:p w:rsidR="00F13CBE" w:rsidRPr="00000534" w:rsidRDefault="00F13CBE" w:rsidP="0015656E">
      <w:pPr>
        <w:rPr>
          <w:color w:val="0000FF"/>
        </w:rPr>
      </w:pPr>
    </w:p>
    <w:p w:rsidR="00585102" w:rsidRPr="0087589C" w:rsidRDefault="00585102" w:rsidP="00015C78">
      <w:pPr>
        <w:pStyle w:val="BPHeaders"/>
      </w:pPr>
      <w:bookmarkStart w:id="1" w:name="_Toc283280740"/>
      <w:r w:rsidRPr="0087589C">
        <w:t>Business Plan Introduction</w:t>
      </w:r>
      <w:bookmarkEnd w:id="1"/>
    </w:p>
    <w:p w:rsidR="00585102" w:rsidRPr="00B818C1" w:rsidRDefault="008B66BC">
      <w:pPr>
        <w:rPr>
          <w:sz w:val="32"/>
        </w:rPr>
      </w:pPr>
      <w:r w:rsidRPr="008B66BC">
        <w:rPr>
          <w:rFonts w:ascii="Arial Black" w:hAnsi="Arial Black"/>
          <w:b/>
          <w:shadow/>
          <w:noProof/>
          <w:color w:val="008000"/>
          <w:sz w:val="20"/>
          <w:lang w:val="en-US"/>
        </w:rPr>
        <w:pict>
          <v:rect id="_x0000_s1030" style="position:absolute;margin-left:-6pt;margin-top:-31pt;width:738pt;height:36pt;z-index:-251657728" filled="f" fillcolor="#fff200" strokeweight="1pt">
            <v:fill color2="#4d0808"/>
          </v:rect>
        </w:pict>
      </w:r>
    </w:p>
    <w:p w:rsidR="005568E9" w:rsidRPr="005568E9" w:rsidRDefault="005568E9" w:rsidP="00015C78">
      <w:pPr>
        <w:pStyle w:val="BPHeading1"/>
      </w:pPr>
      <w:bookmarkStart w:id="2" w:name="_Toc283280741"/>
      <w:r w:rsidRPr="005568E9">
        <w:t>Purpose</w:t>
      </w:r>
      <w:bookmarkEnd w:id="2"/>
    </w:p>
    <w:p w:rsidR="00585102" w:rsidRDefault="00585102" w:rsidP="002E6620">
      <w:pPr>
        <w:jc w:val="both"/>
      </w:pPr>
      <w:r>
        <w:t>The purpose of this Service level business plan is to help managers and employees to identify, clarify and communicate</w:t>
      </w:r>
      <w:r w:rsidR="005568E9">
        <w:t xml:space="preserve"> the following</w:t>
      </w:r>
      <w:r>
        <w:t>:</w:t>
      </w:r>
    </w:p>
    <w:p w:rsidR="00F13CBE" w:rsidRDefault="00585102" w:rsidP="002E6620">
      <w:pPr>
        <w:numPr>
          <w:ilvl w:val="0"/>
          <w:numId w:val="4"/>
        </w:numPr>
        <w:jc w:val="both"/>
      </w:pPr>
      <w:r>
        <w:t xml:space="preserve">an overview of this service </w:t>
      </w:r>
    </w:p>
    <w:p w:rsidR="00585102" w:rsidRDefault="00585102" w:rsidP="002E6620">
      <w:pPr>
        <w:numPr>
          <w:ilvl w:val="0"/>
          <w:numId w:val="4"/>
        </w:numPr>
        <w:jc w:val="both"/>
      </w:pPr>
      <w:r>
        <w:t xml:space="preserve">the main projects and work commitments for the current year and how and when progress will be monitored </w:t>
      </w:r>
    </w:p>
    <w:p w:rsidR="00585102" w:rsidRDefault="00585102" w:rsidP="002E6620">
      <w:pPr>
        <w:numPr>
          <w:ilvl w:val="0"/>
          <w:numId w:val="4"/>
        </w:numPr>
        <w:jc w:val="both"/>
      </w:pPr>
      <w:r>
        <w:t>the actions that this service will undertake during the current year in its aim for continuous improvement</w:t>
      </w:r>
    </w:p>
    <w:p w:rsidR="00585102" w:rsidRDefault="00585102" w:rsidP="002E6620">
      <w:pPr>
        <w:numPr>
          <w:ilvl w:val="0"/>
          <w:numId w:val="4"/>
        </w:numPr>
        <w:jc w:val="both"/>
      </w:pPr>
      <w:r>
        <w:t>the links between these</w:t>
      </w:r>
      <w:r w:rsidR="0087589C">
        <w:t xml:space="preserve"> </w:t>
      </w:r>
      <w:r>
        <w:t>Directorate and Corporate objectives and priorities</w:t>
      </w:r>
      <w:r w:rsidR="0087589C">
        <w:t xml:space="preserve"> and the actions that </w:t>
      </w:r>
      <w:r>
        <w:t>will</w:t>
      </w:r>
      <w:r w:rsidR="0087589C">
        <w:t xml:space="preserve"> be</w:t>
      </w:r>
      <w:r>
        <w:t xml:space="preserve"> undertake</w:t>
      </w:r>
      <w:r w:rsidR="0087589C">
        <w:t>n</w:t>
      </w:r>
      <w:r>
        <w:t xml:space="preserve"> to me</w:t>
      </w:r>
      <w:r w:rsidR="0087589C">
        <w:t xml:space="preserve">et commitments made in the </w:t>
      </w:r>
      <w:r>
        <w:t>Directorate and Corporate plans</w:t>
      </w:r>
    </w:p>
    <w:p w:rsidR="005568E9" w:rsidRDefault="005568E9" w:rsidP="005568E9">
      <w:pPr>
        <w:jc w:val="both"/>
      </w:pPr>
    </w:p>
    <w:p w:rsidR="005568E9" w:rsidRPr="005568E9" w:rsidRDefault="005568E9" w:rsidP="00015C78">
      <w:pPr>
        <w:pStyle w:val="BPHeading1"/>
      </w:pPr>
      <w:bookmarkStart w:id="3" w:name="_Toc283280742"/>
      <w:r w:rsidRPr="005568E9">
        <w:t>Value</w:t>
      </w:r>
      <w:bookmarkEnd w:id="3"/>
      <w:r w:rsidR="002D78E7">
        <w:t xml:space="preserve"> </w:t>
      </w:r>
    </w:p>
    <w:p w:rsidR="00585102" w:rsidRDefault="002E6620" w:rsidP="002E6620">
      <w:pPr>
        <w:spacing w:before="120" w:after="60"/>
        <w:jc w:val="both"/>
      </w:pPr>
      <w:r>
        <w:t>The b</w:t>
      </w:r>
      <w:r w:rsidR="00400DE0">
        <w:t xml:space="preserve">usiness planning </w:t>
      </w:r>
      <w:r>
        <w:t xml:space="preserve">process is an </w:t>
      </w:r>
      <w:r w:rsidR="00400DE0">
        <w:t>a</w:t>
      </w:r>
      <w:r w:rsidR="00585102">
        <w:t xml:space="preserve">id </w:t>
      </w:r>
      <w:r>
        <w:t xml:space="preserve">to a service's </w:t>
      </w:r>
      <w:r w:rsidR="00585102">
        <w:t>continuous improve</w:t>
      </w:r>
      <w:r w:rsidR="00400DE0">
        <w:t xml:space="preserve">ment </w:t>
      </w:r>
      <w:r>
        <w:t xml:space="preserve">by helping with the following: </w:t>
      </w:r>
      <w:r w:rsidR="00585102">
        <w:t xml:space="preserve"> </w:t>
      </w:r>
    </w:p>
    <w:p w:rsidR="002D78E7" w:rsidRDefault="002D78E7" w:rsidP="002E6620">
      <w:pPr>
        <w:numPr>
          <w:ilvl w:val="0"/>
          <w:numId w:val="4"/>
        </w:numPr>
        <w:jc w:val="both"/>
      </w:pPr>
      <w:r>
        <w:t>giving consideration to what's happened in the past year, it's impact and influence on the future</w:t>
      </w:r>
    </w:p>
    <w:p w:rsidR="002D78E7" w:rsidRDefault="002D78E7" w:rsidP="002E6620">
      <w:pPr>
        <w:numPr>
          <w:ilvl w:val="0"/>
          <w:numId w:val="4"/>
        </w:numPr>
        <w:jc w:val="both"/>
      </w:pPr>
      <w:r>
        <w:t>an opportunity to plan what needs to happen in the service next year and the years beyond</w:t>
      </w:r>
    </w:p>
    <w:p w:rsidR="00585102" w:rsidRDefault="00585102" w:rsidP="002E6620">
      <w:pPr>
        <w:numPr>
          <w:ilvl w:val="0"/>
          <w:numId w:val="4"/>
        </w:numPr>
        <w:jc w:val="both"/>
      </w:pPr>
      <w:r>
        <w:t xml:space="preserve">managers to allocate workloads and resources </w:t>
      </w:r>
    </w:p>
    <w:p w:rsidR="00585102" w:rsidRDefault="00585102" w:rsidP="002E6620">
      <w:pPr>
        <w:numPr>
          <w:ilvl w:val="0"/>
          <w:numId w:val="4"/>
        </w:numPr>
        <w:jc w:val="both"/>
      </w:pPr>
      <w:r>
        <w:t>informing the Personal Development Appraisal (PDA) process</w:t>
      </w:r>
    </w:p>
    <w:p w:rsidR="00585102" w:rsidRDefault="00585102" w:rsidP="002E6620">
      <w:pPr>
        <w:numPr>
          <w:ilvl w:val="0"/>
          <w:numId w:val="4"/>
        </w:numPr>
        <w:jc w:val="both"/>
      </w:pPr>
      <w:r>
        <w:t xml:space="preserve">helping employees and managers to identify, prioritise and contribute to service improvements  </w:t>
      </w:r>
    </w:p>
    <w:p w:rsidR="005568E9" w:rsidRDefault="005568E9" w:rsidP="005568E9">
      <w:pPr>
        <w:jc w:val="both"/>
      </w:pPr>
    </w:p>
    <w:p w:rsidR="005568E9" w:rsidRPr="005568E9" w:rsidRDefault="005568E9" w:rsidP="00015C78">
      <w:pPr>
        <w:pStyle w:val="BPHeading1"/>
      </w:pPr>
      <w:bookmarkStart w:id="4" w:name="_Toc283280743"/>
      <w:r w:rsidRPr="005568E9">
        <w:t>Review</w:t>
      </w:r>
      <w:bookmarkEnd w:id="4"/>
    </w:p>
    <w:p w:rsidR="00585102" w:rsidRDefault="00585102" w:rsidP="002E6620">
      <w:pPr>
        <w:spacing w:before="120" w:after="60"/>
        <w:jc w:val="both"/>
      </w:pPr>
      <w:r>
        <w:t xml:space="preserve">This plan is developed by the manager with involvement from all employees, and </w:t>
      </w:r>
      <w:r w:rsidR="002E6620">
        <w:t>is</w:t>
      </w:r>
      <w:r>
        <w:t xml:space="preserve"> renewed annually.  </w:t>
      </w:r>
      <w:r w:rsidR="002E6620">
        <w:t xml:space="preserve">The plan </w:t>
      </w:r>
      <w:r w:rsidR="00085123">
        <w:t xml:space="preserve">should be used and </w:t>
      </w:r>
      <w:r w:rsidR="002E6620">
        <w:t xml:space="preserve">updated </w:t>
      </w:r>
      <w:r>
        <w:t xml:space="preserve">regularly throughout the year to </w:t>
      </w:r>
      <w:r w:rsidR="00085123">
        <w:t xml:space="preserve">monitor and </w:t>
      </w:r>
      <w:r>
        <w:t>ensure that progress against</w:t>
      </w:r>
      <w:r w:rsidR="002E6620">
        <w:t xml:space="preserve"> the action </w:t>
      </w:r>
      <w:r>
        <w:t xml:space="preserve">plans, changes in priorities or employee details are recorded.  This plan will be published on the </w:t>
      </w:r>
      <w:r w:rsidR="00400DE0">
        <w:t xml:space="preserve">Adult and Community Services </w:t>
      </w:r>
      <w:r>
        <w:t>Directorate</w:t>
      </w:r>
      <w:r w:rsidR="00400DE0">
        <w:t xml:space="preserve">'s Business Planning </w:t>
      </w:r>
      <w:r>
        <w:t>intranet</w:t>
      </w:r>
      <w:r w:rsidR="00400DE0">
        <w:t xml:space="preserve"> site</w:t>
      </w:r>
      <w:r w:rsidR="00085123">
        <w:t xml:space="preserve"> for internal use.  </w:t>
      </w:r>
      <w:r w:rsidR="00952AA3">
        <w:t xml:space="preserve">Externally, there is a published directorate business plan </w:t>
      </w:r>
      <w:hyperlink r:id="rId12" w:history="1">
        <w:r w:rsidR="00952AA3" w:rsidRPr="0024030E">
          <w:rPr>
            <w:rStyle w:val="Hyperlink"/>
          </w:rPr>
          <w:t>http://lccintranet2/corporate/web/?siteid=3628&amp;pageid=11397</w:t>
        </w:r>
      </w:hyperlink>
    </w:p>
    <w:p w:rsidR="00585102" w:rsidRPr="00515A2A" w:rsidRDefault="00585102" w:rsidP="002E6620">
      <w:pPr>
        <w:jc w:val="both"/>
        <w:rPr>
          <w:color w:val="008000"/>
        </w:rPr>
      </w:pPr>
      <w:r>
        <w:t xml:space="preserve">The officers responsible </w:t>
      </w:r>
      <w:r w:rsidR="00275F42">
        <w:t>for updating this business plan are Ian Watson, Julie Bell, Bruce Jackso</w:t>
      </w:r>
      <w:r w:rsidR="00263DEE">
        <w:t xml:space="preserve">n, </w:t>
      </w:r>
      <w:r w:rsidR="00C24AF7">
        <w:t xml:space="preserve">David Blackett, </w:t>
      </w:r>
      <w:proofErr w:type="gramStart"/>
      <w:r w:rsidR="00C24AF7">
        <w:t>Ann</w:t>
      </w:r>
      <w:proofErr w:type="gramEnd"/>
      <w:r w:rsidR="00C24AF7">
        <w:t xml:space="preserve"> Marsh</w:t>
      </w:r>
    </w:p>
    <w:p w:rsidR="00585102" w:rsidRDefault="00585102">
      <w:pPr>
        <w:rPr>
          <w:color w:val="FF00FF"/>
        </w:rPr>
      </w:pPr>
    </w:p>
    <w:p w:rsidR="00F931AE" w:rsidRDefault="008B66BC" w:rsidP="00C85EF2">
      <w:hyperlink w:anchor="Contents" w:history="1">
        <w:r w:rsidR="00585102">
          <w:rPr>
            <w:rStyle w:val="Hyperlink"/>
          </w:rPr>
          <w:t>Back to Contents</w:t>
        </w:r>
      </w:hyperlink>
      <w:r w:rsidR="00F931AE">
        <w:tab/>
      </w:r>
    </w:p>
    <w:p w:rsidR="00585102" w:rsidRPr="005E638E" w:rsidRDefault="00585102" w:rsidP="004C677C">
      <w:pPr>
        <w:pStyle w:val="BPHeaders"/>
      </w:pPr>
      <w:r w:rsidRPr="00F931AE">
        <w:br w:type="page"/>
      </w:r>
      <w:bookmarkStart w:id="5" w:name="_Toc283280744"/>
      <w:r w:rsidRPr="005E638E">
        <w:lastRenderedPageBreak/>
        <w:t>About the service</w:t>
      </w:r>
      <w:bookmarkEnd w:id="5"/>
    </w:p>
    <w:p w:rsidR="00585102" w:rsidRDefault="008B66BC">
      <w:pPr>
        <w:pStyle w:val="Heading3"/>
        <w:spacing w:before="0" w:after="0"/>
        <w:rPr>
          <w:noProof/>
          <w:color w:val="008000"/>
          <w:sz w:val="28"/>
          <w:lang w:val="en-US"/>
        </w:rPr>
      </w:pPr>
      <w:bookmarkStart w:id="6" w:name="_Toc156727102"/>
      <w:bookmarkStart w:id="7" w:name="_Toc157220763"/>
      <w:bookmarkStart w:id="8" w:name="_Toc157220952"/>
      <w:bookmarkStart w:id="9" w:name="_Toc157242598"/>
      <w:bookmarkStart w:id="10" w:name="_Toc158519890"/>
      <w:bookmarkStart w:id="11" w:name="_Toc158532350"/>
      <w:bookmarkStart w:id="12" w:name="_Toc159214919"/>
      <w:bookmarkStart w:id="13" w:name="_Toc159384827"/>
      <w:bookmarkStart w:id="14" w:name="_Toc159385113"/>
      <w:bookmarkStart w:id="15" w:name="_Toc159385155"/>
      <w:bookmarkStart w:id="16" w:name="_Toc173636954"/>
      <w:bookmarkStart w:id="17" w:name="_Toc191885475"/>
      <w:bookmarkStart w:id="18" w:name="_Toc191885975"/>
      <w:bookmarkStart w:id="19" w:name="_Toc191887747"/>
      <w:bookmarkStart w:id="20" w:name="_Toc193597953"/>
      <w:bookmarkStart w:id="21" w:name="_Toc193682697"/>
      <w:bookmarkStart w:id="22" w:name="_Toc225926112"/>
      <w:bookmarkStart w:id="23" w:name="_Toc240861475"/>
      <w:bookmarkStart w:id="24" w:name="_Toc156199431"/>
      <w:bookmarkStart w:id="25" w:name="_Toc156200463"/>
      <w:r w:rsidRPr="008B66BC">
        <w:rPr>
          <w:noProof/>
          <w:color w:val="008000"/>
          <w:sz w:val="20"/>
          <w:lang w:val="en-US"/>
        </w:rPr>
        <w:pict>
          <v:rect id="_x0000_s1027" style="position:absolute;margin-left:-12pt;margin-top:-31pt;width:750pt;height:36pt;z-index:-251660800" filled="f" fillcolor="#fff200" strokeweight="1pt">
            <v:fill color2="#4d0808"/>
          </v:rect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85102" w:rsidRPr="005E638E" w:rsidRDefault="00585102" w:rsidP="004C677C">
      <w:pPr>
        <w:pStyle w:val="BPHeading1"/>
      </w:pPr>
      <w:bookmarkStart w:id="26" w:name="_Toc283280745"/>
      <w:bookmarkEnd w:id="24"/>
      <w:bookmarkEnd w:id="25"/>
      <w:r w:rsidRPr="005E638E">
        <w:t>Key activities</w:t>
      </w:r>
      <w:bookmarkEnd w:id="26"/>
    </w:p>
    <w:p w:rsidR="00585102" w:rsidRDefault="00585102">
      <w:pPr>
        <w:rPr>
          <w:bCs/>
        </w:rPr>
      </w:pPr>
      <w:r>
        <w:rPr>
          <w:bCs/>
        </w:rPr>
        <w:t xml:space="preserve">We </w:t>
      </w:r>
      <w:r w:rsidR="002E6620">
        <w:rPr>
          <w:bCs/>
        </w:rPr>
        <w:t xml:space="preserve">fulfil our core purpose </w:t>
      </w:r>
      <w:r>
        <w:rPr>
          <w:bCs/>
        </w:rPr>
        <w:t>by</w:t>
      </w:r>
      <w:r w:rsidR="00683629">
        <w:rPr>
          <w:bCs/>
        </w:rPr>
        <w:t xml:space="preserve"> providing</w:t>
      </w:r>
    </w:p>
    <w:p w:rsidR="00585102" w:rsidRDefault="00683629" w:rsidP="00A321A8">
      <w:pPr>
        <w:numPr>
          <w:ilvl w:val="0"/>
          <w:numId w:val="25"/>
        </w:numPr>
        <w:rPr>
          <w:bCs/>
        </w:rPr>
      </w:pPr>
      <w:r>
        <w:rPr>
          <w:bCs/>
        </w:rPr>
        <w:t>In</w:t>
      </w:r>
      <w:r w:rsidR="00FF2E4C">
        <w:rPr>
          <w:bCs/>
        </w:rPr>
        <w:t>formation</w:t>
      </w:r>
    </w:p>
    <w:p w:rsidR="00FF2E4C" w:rsidRDefault="00FF2E4C" w:rsidP="00A321A8">
      <w:pPr>
        <w:numPr>
          <w:ilvl w:val="0"/>
          <w:numId w:val="25"/>
        </w:numPr>
        <w:rPr>
          <w:bCs/>
        </w:rPr>
      </w:pPr>
      <w:r>
        <w:rPr>
          <w:bCs/>
        </w:rPr>
        <w:t>Opportunities for engagement (e.g. users and volunteers)</w:t>
      </w:r>
    </w:p>
    <w:p w:rsidR="00FF2E4C" w:rsidRDefault="00683629" w:rsidP="00A321A8">
      <w:pPr>
        <w:numPr>
          <w:ilvl w:val="0"/>
          <w:numId w:val="25"/>
        </w:numPr>
        <w:rPr>
          <w:bCs/>
        </w:rPr>
      </w:pPr>
      <w:r>
        <w:rPr>
          <w:bCs/>
        </w:rPr>
        <w:t>F</w:t>
      </w:r>
      <w:r w:rsidR="00FF2E4C">
        <w:rPr>
          <w:bCs/>
        </w:rPr>
        <w:t>acilities</w:t>
      </w:r>
    </w:p>
    <w:p w:rsidR="00FF2E4C" w:rsidRDefault="00FF2E4C" w:rsidP="00A321A8">
      <w:pPr>
        <w:numPr>
          <w:ilvl w:val="0"/>
          <w:numId w:val="25"/>
        </w:numPr>
        <w:rPr>
          <w:bCs/>
        </w:rPr>
      </w:pPr>
      <w:r>
        <w:rPr>
          <w:bCs/>
        </w:rPr>
        <w:t>Partnership working</w:t>
      </w:r>
    </w:p>
    <w:p w:rsidR="00FF2E4C" w:rsidRDefault="00FF2E4C" w:rsidP="00A321A8">
      <w:pPr>
        <w:numPr>
          <w:ilvl w:val="0"/>
          <w:numId w:val="25"/>
        </w:numPr>
        <w:rPr>
          <w:bCs/>
        </w:rPr>
      </w:pPr>
      <w:r>
        <w:rPr>
          <w:bCs/>
        </w:rPr>
        <w:t>Opportunities for learning</w:t>
      </w:r>
    </w:p>
    <w:p w:rsidR="00767838" w:rsidRDefault="00683629" w:rsidP="00683629">
      <w:pPr>
        <w:numPr>
          <w:ilvl w:val="0"/>
          <w:numId w:val="25"/>
        </w:numPr>
        <w:rPr>
          <w:bCs/>
        </w:rPr>
      </w:pPr>
      <w:r>
        <w:rPr>
          <w:bCs/>
        </w:rPr>
        <w:t>E</w:t>
      </w:r>
      <w:r w:rsidR="00FF2E4C">
        <w:rPr>
          <w:bCs/>
        </w:rPr>
        <w:t>mployment</w:t>
      </w:r>
    </w:p>
    <w:p w:rsidR="00683629" w:rsidRPr="00DD0157" w:rsidRDefault="00683629" w:rsidP="00767838">
      <w:pPr>
        <w:numPr>
          <w:ilvl w:val="0"/>
          <w:numId w:val="25"/>
        </w:numPr>
        <w:rPr>
          <w:bCs/>
        </w:rPr>
      </w:pPr>
      <w:r>
        <w:rPr>
          <w:bCs/>
        </w:rPr>
        <w:t>Advocacy for culture</w:t>
      </w:r>
    </w:p>
    <w:p w:rsidR="00767838" w:rsidRDefault="008C7C88" w:rsidP="00DD0157">
      <w:pPr>
        <w:rPr>
          <w:bCs/>
        </w:rPr>
      </w:pPr>
      <w:r w:rsidRPr="00683629">
        <w:rPr>
          <w:bCs/>
        </w:rPr>
        <w:t>A</w:t>
      </w:r>
      <w:r w:rsidR="00683629" w:rsidRPr="00683629">
        <w:rPr>
          <w:bCs/>
        </w:rPr>
        <w:t>nd</w:t>
      </w:r>
      <w:r>
        <w:rPr>
          <w:bCs/>
        </w:rPr>
        <w:t xml:space="preserve"> by</w:t>
      </w:r>
    </w:p>
    <w:p w:rsidR="00FF2E4C" w:rsidRDefault="00FF2E4C" w:rsidP="00A321A8">
      <w:pPr>
        <w:numPr>
          <w:ilvl w:val="0"/>
          <w:numId w:val="25"/>
        </w:numPr>
        <w:rPr>
          <w:bCs/>
        </w:rPr>
      </w:pPr>
      <w:r>
        <w:rPr>
          <w:bCs/>
        </w:rPr>
        <w:t>Supporting corporate and directorate objectives</w:t>
      </w:r>
    </w:p>
    <w:p w:rsidR="00FF2E4C" w:rsidRDefault="00FF2E4C" w:rsidP="00A321A8">
      <w:pPr>
        <w:numPr>
          <w:ilvl w:val="0"/>
          <w:numId w:val="25"/>
        </w:numPr>
        <w:rPr>
          <w:bCs/>
        </w:rPr>
      </w:pPr>
      <w:r>
        <w:rPr>
          <w:bCs/>
        </w:rPr>
        <w:t>Preserv</w:t>
      </w:r>
      <w:r w:rsidR="00683629">
        <w:rPr>
          <w:bCs/>
        </w:rPr>
        <w:t xml:space="preserve">ing our </w:t>
      </w:r>
      <w:r>
        <w:rPr>
          <w:bCs/>
        </w:rPr>
        <w:t>cultural heritage</w:t>
      </w:r>
    </w:p>
    <w:p w:rsidR="00FF2E4C" w:rsidRDefault="00FF2E4C" w:rsidP="00FF2E4C">
      <w:pPr>
        <w:numPr>
          <w:ilvl w:val="0"/>
          <w:numId w:val="25"/>
        </w:numPr>
        <w:rPr>
          <w:bCs/>
        </w:rPr>
      </w:pPr>
      <w:r>
        <w:rPr>
          <w:bCs/>
        </w:rPr>
        <w:t>Marketing cultural services</w:t>
      </w:r>
    </w:p>
    <w:p w:rsidR="00767838" w:rsidRDefault="00FF2E4C">
      <w:pPr>
        <w:numPr>
          <w:ilvl w:val="0"/>
          <w:numId w:val="25"/>
        </w:numPr>
        <w:ind w:left="714"/>
        <w:rPr>
          <w:rFonts w:ascii="Helvetica" w:hAnsi="Helvetica"/>
          <w:bCs/>
          <w:iCs/>
        </w:rPr>
      </w:pPr>
      <w:r>
        <w:rPr>
          <w:bCs/>
        </w:rPr>
        <w:t xml:space="preserve">Developing </w:t>
      </w:r>
      <w:r w:rsidR="008C7C88">
        <w:rPr>
          <w:bCs/>
        </w:rPr>
        <w:t xml:space="preserve">joint service work within </w:t>
      </w:r>
      <w:r>
        <w:rPr>
          <w:bCs/>
        </w:rPr>
        <w:t xml:space="preserve">cultural services </w:t>
      </w:r>
    </w:p>
    <w:p w:rsidR="00585102" w:rsidRPr="008C7C88" w:rsidRDefault="00585102" w:rsidP="004C677C">
      <w:pPr>
        <w:pStyle w:val="BPHeading1"/>
      </w:pPr>
      <w:bookmarkStart w:id="27" w:name="_Toc283280746"/>
      <w:r w:rsidRPr="008C7C88">
        <w:t>Plans</w:t>
      </w:r>
      <w:bookmarkEnd w:id="27"/>
      <w:r w:rsidRPr="008C7C88">
        <w:t xml:space="preserve"> </w:t>
      </w:r>
    </w:p>
    <w:p w:rsidR="00515A2A" w:rsidRPr="00DD0157" w:rsidRDefault="00585102" w:rsidP="00DD0157">
      <w:pPr>
        <w:pStyle w:val="Heading6"/>
        <w:rPr>
          <w:u w:val="none"/>
        </w:rPr>
      </w:pPr>
      <w:r w:rsidRPr="008C7C88">
        <w:rPr>
          <w:bCs/>
          <w:u w:val="none"/>
        </w:rPr>
        <w:t>The</w:t>
      </w:r>
      <w:r w:rsidR="00515A2A" w:rsidRPr="008C7C88">
        <w:rPr>
          <w:bCs/>
          <w:u w:val="none"/>
        </w:rPr>
        <w:t xml:space="preserve">se Regional, Local and National </w:t>
      </w:r>
      <w:r w:rsidRPr="008C7C88">
        <w:rPr>
          <w:bCs/>
          <w:u w:val="none"/>
        </w:rPr>
        <w:t>plans influence</w:t>
      </w:r>
      <w:r w:rsidR="00061961" w:rsidRPr="00061961">
        <w:rPr>
          <w:rFonts w:ascii="Helvetica" w:hAnsi="Helvetica"/>
          <w:iCs/>
          <w:u w:val="none"/>
        </w:rPr>
        <w:t xml:space="preserve"> </w:t>
      </w:r>
      <w:r w:rsidRPr="00515A2A">
        <w:rPr>
          <w:u w:val="none"/>
        </w:rPr>
        <w:t>our service</w:t>
      </w:r>
      <w:r w:rsidR="00F24D5C">
        <w:rPr>
          <w:u w:val="none"/>
        </w:rPr>
        <w:t>s</w:t>
      </w:r>
      <w:r w:rsidR="00515A2A" w:rsidRPr="00515A2A">
        <w:rPr>
          <w:u w:val="none"/>
        </w:rPr>
        <w:t xml:space="preserve">: </w:t>
      </w:r>
    </w:p>
    <w:p w:rsidR="00767838" w:rsidRPr="00767838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67838">
        <w:rPr>
          <w:rFonts w:ascii="Arial" w:hAnsi="Arial" w:cs="Arial"/>
          <w:color w:val="auto"/>
        </w:rPr>
        <w:t>Culture and Sport Strategy for Lancashire County Council</w:t>
      </w:r>
    </w:p>
    <w:p w:rsidR="00767838" w:rsidRPr="00767838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67838">
        <w:rPr>
          <w:rFonts w:ascii="Arial" w:hAnsi="Arial" w:cs="Arial"/>
          <w:color w:val="auto"/>
        </w:rPr>
        <w:t>DCMS – Passion for Excellence</w:t>
      </w:r>
    </w:p>
    <w:p w:rsidR="00767838" w:rsidRPr="00767838" w:rsidRDefault="00F24D5C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67838">
        <w:rPr>
          <w:rFonts w:ascii="Arial" w:hAnsi="Arial" w:cs="Arial"/>
          <w:color w:val="auto"/>
        </w:rPr>
        <w:t>Lancashire Economic Partnership</w:t>
      </w:r>
    </w:p>
    <w:p w:rsidR="005062D3" w:rsidRPr="00767838" w:rsidRDefault="00061961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67838">
        <w:rPr>
          <w:rFonts w:ascii="Arial" w:hAnsi="Arial" w:cs="Arial"/>
          <w:color w:val="auto"/>
        </w:rPr>
        <w:t>Renaissance in the Regions</w:t>
      </w:r>
    </w:p>
    <w:p w:rsidR="005062D3" w:rsidRPr="00767838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67838">
        <w:rPr>
          <w:rFonts w:ascii="Arial" w:hAnsi="Arial" w:cs="Arial"/>
          <w:color w:val="auto"/>
        </w:rPr>
        <w:t>Framework for the Future</w:t>
      </w:r>
    </w:p>
    <w:p w:rsidR="005062D3" w:rsidRPr="00767838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67838">
        <w:rPr>
          <w:rFonts w:ascii="Arial" w:hAnsi="Arial" w:cs="Arial"/>
          <w:color w:val="auto"/>
        </w:rPr>
        <w:t xml:space="preserve">The Learning Revolution White Paper </w:t>
      </w:r>
    </w:p>
    <w:p w:rsidR="005062D3" w:rsidRPr="00767838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67838">
        <w:rPr>
          <w:rFonts w:ascii="Arial" w:hAnsi="Arial" w:cs="Arial"/>
          <w:color w:val="auto"/>
        </w:rPr>
        <w:t>Every Child Matters</w:t>
      </w:r>
    </w:p>
    <w:p w:rsidR="005062D3" w:rsidRPr="005062D3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5062D3">
        <w:rPr>
          <w:rFonts w:ascii="Arial" w:hAnsi="Arial" w:cs="Arial"/>
          <w:color w:val="auto"/>
        </w:rPr>
        <w:t>Fulfilling Their Potential</w:t>
      </w:r>
    </w:p>
    <w:p w:rsidR="005062D3" w:rsidRPr="005062D3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5062D3">
        <w:rPr>
          <w:rFonts w:ascii="Arial" w:hAnsi="Arial" w:cs="Arial"/>
          <w:color w:val="auto"/>
        </w:rPr>
        <w:t>Digital Britain</w:t>
      </w:r>
    </w:p>
    <w:p w:rsidR="005062D3" w:rsidRPr="005062D3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5062D3">
        <w:rPr>
          <w:rFonts w:ascii="Arial" w:hAnsi="Arial" w:cs="Arial"/>
          <w:color w:val="auto"/>
        </w:rPr>
        <w:t>Ambition Lancashire, the Corporate Strategy, and the Directorate Business plan</w:t>
      </w:r>
    </w:p>
    <w:p w:rsidR="005062D3" w:rsidRDefault="005062D3" w:rsidP="00767838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5062D3">
        <w:rPr>
          <w:rFonts w:ascii="Arial" w:hAnsi="Arial" w:cs="Arial"/>
          <w:color w:val="auto"/>
        </w:rPr>
        <w:t>Fylde Coast Cultural Strategy</w:t>
      </w:r>
    </w:p>
    <w:p w:rsidR="007E056B" w:rsidRPr="00767838" w:rsidRDefault="007E056B" w:rsidP="00767838">
      <w:pPr>
        <w:pStyle w:val="ListParagraph"/>
        <w:numPr>
          <w:ilvl w:val="0"/>
          <w:numId w:val="44"/>
        </w:numPr>
        <w:rPr>
          <w:rFonts w:cs="Arial"/>
          <w:lang w:eastAsia="en-GB"/>
        </w:rPr>
      </w:pPr>
      <w:r w:rsidRPr="00767838">
        <w:rPr>
          <w:rFonts w:cs="Arial"/>
          <w:lang w:eastAsia="en-GB"/>
        </w:rPr>
        <w:t xml:space="preserve">Archives for the 21st century; </w:t>
      </w:r>
    </w:p>
    <w:p w:rsidR="001B7A77" w:rsidRPr="00DD0157" w:rsidRDefault="007E056B" w:rsidP="00DD0157">
      <w:pPr>
        <w:pStyle w:val="NormalWeb"/>
        <w:numPr>
          <w:ilvl w:val="0"/>
          <w:numId w:val="44"/>
        </w:numPr>
        <w:shd w:val="clear" w:color="auto" w:fill="FFFFFF"/>
        <w:spacing w:before="0" w:after="0"/>
        <w:rPr>
          <w:rFonts w:ascii="Arial" w:hAnsi="Arial" w:cs="Arial"/>
          <w:color w:val="auto"/>
        </w:rPr>
      </w:pPr>
      <w:r w:rsidRPr="007E056B">
        <w:rPr>
          <w:rFonts w:ascii="Arial" w:hAnsi="Arial" w:cs="Arial"/>
          <w:color w:val="auto"/>
        </w:rPr>
        <w:t>Information matters: building</w:t>
      </w:r>
      <w:r>
        <w:rPr>
          <w:rFonts w:ascii="Arial" w:hAnsi="Arial" w:cs="Arial"/>
          <w:color w:val="auto"/>
        </w:rPr>
        <w:t xml:space="preserve"> </w:t>
      </w:r>
      <w:r w:rsidRPr="007E056B">
        <w:rPr>
          <w:rFonts w:ascii="Arial" w:hAnsi="Arial" w:cs="Arial"/>
          <w:color w:val="auto"/>
        </w:rPr>
        <w:t>government's capability in managing knowledge and information</w:t>
      </w:r>
    </w:p>
    <w:p w:rsidR="00585102" w:rsidRPr="005E638E" w:rsidRDefault="00585102" w:rsidP="004C677C">
      <w:pPr>
        <w:pStyle w:val="BPHeading1"/>
      </w:pPr>
      <w:bookmarkStart w:id="28" w:name="_Toc283280747"/>
      <w:r w:rsidRPr="005E638E">
        <w:lastRenderedPageBreak/>
        <w:t>Accreditations and Awards</w:t>
      </w:r>
      <w:bookmarkEnd w:id="28"/>
    </w:p>
    <w:p w:rsidR="00585102" w:rsidRDefault="00585102">
      <w:r>
        <w:t xml:space="preserve">Our </w:t>
      </w:r>
      <w:r w:rsidR="00F14310">
        <w:t>service</w:t>
      </w:r>
      <w:r w:rsidR="00F24D5C">
        <w:t>s</w:t>
      </w:r>
      <w:r>
        <w:t xml:space="preserve"> </w:t>
      </w:r>
      <w:r w:rsidR="00F24D5C">
        <w:t xml:space="preserve">have </w:t>
      </w:r>
      <w:r>
        <w:t>the following awards</w:t>
      </w:r>
      <w:r w:rsidR="00303902">
        <w:t>:</w:t>
      </w:r>
    </w:p>
    <w:p w:rsidR="00585102" w:rsidRDefault="00F24D5C" w:rsidP="00A321A8">
      <w:pPr>
        <w:numPr>
          <w:ilvl w:val="0"/>
          <w:numId w:val="25"/>
        </w:numPr>
      </w:pPr>
      <w:r>
        <w:t>Investors in People</w:t>
      </w:r>
    </w:p>
    <w:p w:rsidR="00F24D5C" w:rsidRDefault="00F24D5C" w:rsidP="00A321A8">
      <w:pPr>
        <w:numPr>
          <w:ilvl w:val="0"/>
          <w:numId w:val="25"/>
        </w:numPr>
      </w:pPr>
      <w:r>
        <w:t>Museums Accreditation</w:t>
      </w:r>
    </w:p>
    <w:p w:rsidR="00F24D5C" w:rsidRDefault="00F24D5C" w:rsidP="00A321A8">
      <w:pPr>
        <w:numPr>
          <w:ilvl w:val="0"/>
          <w:numId w:val="25"/>
        </w:numPr>
      </w:pPr>
      <w:r>
        <w:t>Institute of Conservation Accreditation</w:t>
      </w:r>
    </w:p>
    <w:p w:rsidR="00F24D5C" w:rsidRDefault="00F24D5C" w:rsidP="00A321A8">
      <w:pPr>
        <w:numPr>
          <w:ilvl w:val="0"/>
          <w:numId w:val="25"/>
        </w:numPr>
      </w:pPr>
      <w:r>
        <w:t>Designated Collections houses at Queen Street Mill Museum and Helmshore Mills Textile Museum</w:t>
      </w:r>
    </w:p>
    <w:p w:rsidR="00F24D5C" w:rsidRDefault="00F24D5C" w:rsidP="00A321A8">
      <w:pPr>
        <w:numPr>
          <w:ilvl w:val="0"/>
          <w:numId w:val="25"/>
        </w:numPr>
      </w:pPr>
      <w:r>
        <w:t>Learning Outside the Classroom (LOTC) Quality Assurance for all schools sessions in Museums</w:t>
      </w:r>
    </w:p>
    <w:p w:rsidR="00F24D5C" w:rsidRDefault="00F24D5C" w:rsidP="00A321A8">
      <w:pPr>
        <w:numPr>
          <w:ilvl w:val="0"/>
          <w:numId w:val="25"/>
        </w:numPr>
      </w:pPr>
      <w:r>
        <w:t>Visit  Britain's Visitor Attraction Quality Assurance Service (VAQUAS) -Museums</w:t>
      </w:r>
    </w:p>
    <w:p w:rsidR="00F24D5C" w:rsidRDefault="00F24D5C" w:rsidP="00F24D5C">
      <w:pPr>
        <w:numPr>
          <w:ilvl w:val="0"/>
          <w:numId w:val="25"/>
        </w:numPr>
      </w:pPr>
      <w:r>
        <w:t>Nava</w:t>
      </w:r>
      <w:r w:rsidR="00234453">
        <w:t>j</w:t>
      </w:r>
      <w:r>
        <w:t>o Charter</w:t>
      </w:r>
    </w:p>
    <w:p w:rsidR="00F24D5C" w:rsidRDefault="00F24D5C" w:rsidP="00F24D5C">
      <w:pPr>
        <w:numPr>
          <w:ilvl w:val="0"/>
          <w:numId w:val="25"/>
        </w:numPr>
      </w:pPr>
      <w:r>
        <w:t>Love Libraries Award</w:t>
      </w:r>
    </w:p>
    <w:p w:rsidR="007E056B" w:rsidRPr="007E056B" w:rsidRDefault="007E056B" w:rsidP="007E056B">
      <w:pPr>
        <w:pStyle w:val="ListParagraph"/>
        <w:numPr>
          <w:ilvl w:val="0"/>
          <w:numId w:val="25"/>
        </w:numPr>
      </w:pPr>
      <w:r w:rsidRPr="007E056B">
        <w:t>2010 TNA assessment of local authority Archive services – 4*</w:t>
      </w:r>
    </w:p>
    <w:p w:rsidR="00F24D5C" w:rsidRDefault="00F24D5C" w:rsidP="00674A0C">
      <w:pPr>
        <w:ind w:left="720"/>
      </w:pPr>
    </w:p>
    <w:p w:rsidR="00585102" w:rsidRPr="005E638E" w:rsidRDefault="00585102" w:rsidP="004C677C">
      <w:pPr>
        <w:pStyle w:val="BPHeading1"/>
      </w:pPr>
      <w:bookmarkStart w:id="29" w:name="_Toc283280748"/>
      <w:r w:rsidRPr="005E638E">
        <w:t>Resources</w:t>
      </w:r>
      <w:bookmarkEnd w:id="29"/>
    </w:p>
    <w:p w:rsidR="00585102" w:rsidRDefault="00A321A8">
      <w:pPr>
        <w:spacing w:before="240" w:after="120"/>
      </w:pPr>
      <w:r>
        <w:t>Staff and finance</w:t>
      </w:r>
    </w:p>
    <w:p w:rsidR="00A321A8" w:rsidRDefault="0060758C">
      <w:pPr>
        <w:spacing w:before="240" w:after="120"/>
      </w:pPr>
      <w:r>
        <w:t>The budget for 20</w:t>
      </w:r>
      <w:r w:rsidR="00BE1015">
        <w:t>10 – 2011 was as follows:</w:t>
      </w:r>
    </w:p>
    <w:p w:rsidR="00BE1015" w:rsidRDefault="00BE1015" w:rsidP="00767838">
      <w:pPr>
        <w:pStyle w:val="ListParagraph"/>
        <w:numPr>
          <w:ilvl w:val="0"/>
          <w:numId w:val="45"/>
        </w:numPr>
        <w:spacing w:before="240" w:after="120"/>
      </w:pPr>
      <w:r>
        <w:t>Libraries - £17,902,000 (86% of the total budget for Cultural Services)</w:t>
      </w:r>
    </w:p>
    <w:p w:rsidR="00BE1015" w:rsidRDefault="00BE1015" w:rsidP="00767838">
      <w:pPr>
        <w:pStyle w:val="ListParagraph"/>
        <w:numPr>
          <w:ilvl w:val="0"/>
          <w:numId w:val="45"/>
        </w:numPr>
        <w:spacing w:before="240" w:after="120"/>
      </w:pPr>
      <w:r>
        <w:t>Museums - £1,688,000 (8% of the total budget for Cultural Services)</w:t>
      </w:r>
    </w:p>
    <w:p w:rsidR="00BE1015" w:rsidRDefault="00BE1015" w:rsidP="00767838">
      <w:pPr>
        <w:pStyle w:val="ListParagraph"/>
        <w:numPr>
          <w:ilvl w:val="0"/>
          <w:numId w:val="45"/>
        </w:numPr>
        <w:spacing w:before="240" w:after="120"/>
      </w:pPr>
      <w:r>
        <w:t>Archives - £589,000 (3% of the total budget for Cultural Services)</w:t>
      </w:r>
    </w:p>
    <w:p w:rsidR="00BE1015" w:rsidRDefault="00BE1015" w:rsidP="00767838">
      <w:pPr>
        <w:pStyle w:val="ListParagraph"/>
        <w:numPr>
          <w:ilvl w:val="0"/>
          <w:numId w:val="45"/>
        </w:numPr>
        <w:spacing w:before="240" w:after="120"/>
      </w:pPr>
      <w:r>
        <w:t>Arts - £680,000 (3% of the total budget for Cultural Services)</w:t>
      </w:r>
    </w:p>
    <w:p w:rsidR="00AF38FC" w:rsidRDefault="00AF38FC" w:rsidP="00AF38FC">
      <w:pPr>
        <w:spacing w:before="240" w:after="120"/>
      </w:pPr>
      <w:r>
        <w:t xml:space="preserve">In the County Council's Financial Strategy for the next three years, Cultural Services will be required to </w:t>
      </w:r>
      <w:r w:rsidR="00674A0C">
        <w:t>save:</w:t>
      </w:r>
    </w:p>
    <w:p w:rsidR="00AF38FC" w:rsidRDefault="00AF38FC" w:rsidP="00674A0C">
      <w:pPr>
        <w:pStyle w:val="ListParagraph"/>
        <w:numPr>
          <w:ilvl w:val="0"/>
          <w:numId w:val="46"/>
        </w:numPr>
        <w:spacing w:before="240" w:after="120"/>
      </w:pPr>
      <w:r>
        <w:t>£1.5 million from the staffing budget</w:t>
      </w:r>
    </w:p>
    <w:p w:rsidR="00AF38FC" w:rsidRDefault="00AF38FC" w:rsidP="00674A0C">
      <w:pPr>
        <w:pStyle w:val="ListParagraph"/>
        <w:numPr>
          <w:ilvl w:val="0"/>
          <w:numId w:val="46"/>
        </w:numPr>
        <w:spacing w:before="240" w:after="120"/>
      </w:pPr>
      <w:r>
        <w:t>£300,000</w:t>
      </w:r>
      <w:r w:rsidR="00674A0C">
        <w:t xml:space="preserve"> from the Resource Fund</w:t>
      </w:r>
    </w:p>
    <w:p w:rsidR="00AF38FC" w:rsidRDefault="00AF38FC" w:rsidP="00674A0C">
      <w:pPr>
        <w:pStyle w:val="ListParagraph"/>
        <w:numPr>
          <w:ilvl w:val="0"/>
          <w:numId w:val="46"/>
        </w:numPr>
        <w:spacing w:before="240" w:after="120"/>
      </w:pPr>
      <w:r>
        <w:t>£75,000 from the review of mobile libraries</w:t>
      </w:r>
    </w:p>
    <w:p w:rsidR="00AF38FC" w:rsidRDefault="00AF38FC" w:rsidP="00674A0C">
      <w:pPr>
        <w:pStyle w:val="ListParagraph"/>
        <w:numPr>
          <w:ilvl w:val="0"/>
          <w:numId w:val="46"/>
        </w:numPr>
        <w:spacing w:before="240" w:after="120"/>
      </w:pPr>
      <w:r>
        <w:t>£200,000 from the arts budget</w:t>
      </w:r>
    </w:p>
    <w:p w:rsidR="00BE1015" w:rsidRDefault="00BE1015">
      <w:pPr>
        <w:spacing w:before="240" w:after="120"/>
      </w:pPr>
      <w:r>
        <w:t xml:space="preserve">The Museums Service operates </w:t>
      </w:r>
      <w:proofErr w:type="gramStart"/>
      <w:r>
        <w:t>seasonal opening patterns which means</w:t>
      </w:r>
      <w:proofErr w:type="gramEnd"/>
      <w:r>
        <w:t xml:space="preserve"> that staffing levels vary throughout the year.  Currently there are 100 full time equivalent (FTE) staff, 120 seasonal/casual staff/freelance group leaders, 60 volunteers.</w:t>
      </w:r>
    </w:p>
    <w:p w:rsidR="00BE1015" w:rsidRDefault="00BE1015">
      <w:pPr>
        <w:spacing w:before="240" w:after="120"/>
      </w:pPr>
      <w:r>
        <w:t xml:space="preserve">The Library service has currently </w:t>
      </w:r>
      <w:r w:rsidR="00E1326C">
        <w:t>551</w:t>
      </w:r>
      <w:r>
        <w:t xml:space="preserve"> FTE staff</w:t>
      </w:r>
    </w:p>
    <w:p w:rsidR="00BE1015" w:rsidRDefault="00BE1015">
      <w:pPr>
        <w:spacing w:before="240" w:after="120"/>
      </w:pPr>
      <w:r>
        <w:lastRenderedPageBreak/>
        <w:t>The Arts Development Service has 5 FTE staff</w:t>
      </w:r>
    </w:p>
    <w:p w:rsidR="00BE1015" w:rsidRDefault="0060758C">
      <w:pPr>
        <w:spacing w:before="240" w:after="120"/>
      </w:pPr>
      <w:r>
        <w:t>The Archives Service has 23 FTE</w:t>
      </w:r>
      <w:r w:rsidR="00820AA2">
        <w:t xml:space="preserve"> staff while the Records Management service </w:t>
      </w:r>
      <w:r w:rsidR="00820AA2" w:rsidRPr="005574BF">
        <w:t>has</w:t>
      </w:r>
      <w:r w:rsidR="00820AA2">
        <w:t xml:space="preserve"> </w:t>
      </w:r>
      <w:r>
        <w:t>9.4 FTE</w:t>
      </w:r>
      <w:r w:rsidR="00820AA2">
        <w:t xml:space="preserve"> employees, including 2 temporary Project Records Managers</w:t>
      </w:r>
      <w:r w:rsidR="00820AA2" w:rsidDel="008B38D7">
        <w:t xml:space="preserve"> </w:t>
      </w:r>
    </w:p>
    <w:p w:rsidR="002E6620" w:rsidRPr="005E638E" w:rsidRDefault="002E6620" w:rsidP="004C677C">
      <w:pPr>
        <w:pStyle w:val="BPHeading1"/>
      </w:pPr>
      <w:bookmarkStart w:id="30" w:name="_Toc225926117"/>
      <w:bookmarkStart w:id="31" w:name="_Toc283280749"/>
      <w:r w:rsidRPr="005E638E">
        <w:t>Who we are</w:t>
      </w:r>
      <w:bookmarkEnd w:id="30"/>
      <w:bookmarkEnd w:id="31"/>
    </w:p>
    <w:p w:rsidR="002E6620" w:rsidRDefault="002E6620" w:rsidP="002E6620">
      <w:pPr>
        <w:spacing w:before="240" w:after="240"/>
        <w:ind w:left="-120"/>
      </w:pPr>
      <w:r>
        <w:t xml:space="preserve">We are part of </w:t>
      </w:r>
      <w:r w:rsidR="00446C6D">
        <w:t>Community Services</w:t>
      </w:r>
      <w:r>
        <w:t xml:space="preserve"> in the Adult and Community Services Directorate and we consist of the following key staff: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2"/>
        <w:gridCol w:w="2809"/>
        <w:gridCol w:w="2247"/>
        <w:gridCol w:w="5628"/>
      </w:tblGrid>
      <w:tr w:rsidR="002E6620" w:rsidTr="00AC4A33">
        <w:trPr>
          <w:trHeight w:val="454"/>
          <w:jc w:val="center"/>
        </w:trPr>
        <w:tc>
          <w:tcPr>
            <w:tcW w:w="1387" w:type="pct"/>
            <w:vAlign w:val="center"/>
          </w:tcPr>
          <w:p w:rsidR="002E6620" w:rsidRPr="00EE4CF7" w:rsidRDefault="002E6620" w:rsidP="000E0B74">
            <w:pPr>
              <w:rPr>
                <w:b/>
              </w:rPr>
            </w:pPr>
            <w:r w:rsidRPr="00EE4CF7">
              <w:rPr>
                <w:b/>
              </w:rPr>
              <w:t>Title</w:t>
            </w:r>
          </w:p>
        </w:tc>
        <w:tc>
          <w:tcPr>
            <w:tcW w:w="950" w:type="pct"/>
            <w:vAlign w:val="center"/>
          </w:tcPr>
          <w:p w:rsidR="002E6620" w:rsidRPr="00EE4CF7" w:rsidRDefault="002E6620" w:rsidP="000E0B74">
            <w:pPr>
              <w:rPr>
                <w:b/>
              </w:rPr>
            </w:pPr>
            <w:r w:rsidRPr="00EE4CF7">
              <w:rPr>
                <w:b/>
              </w:rPr>
              <w:t>Name</w:t>
            </w:r>
          </w:p>
        </w:tc>
        <w:tc>
          <w:tcPr>
            <w:tcW w:w="760" w:type="pct"/>
            <w:vAlign w:val="center"/>
          </w:tcPr>
          <w:p w:rsidR="002E6620" w:rsidRPr="00EE4CF7" w:rsidRDefault="002E6620" w:rsidP="000E0B74">
            <w:pPr>
              <w:rPr>
                <w:b/>
              </w:rPr>
            </w:pPr>
            <w:r w:rsidRPr="00EE4CF7">
              <w:rPr>
                <w:b/>
              </w:rPr>
              <w:t>Phone number</w:t>
            </w:r>
          </w:p>
        </w:tc>
        <w:tc>
          <w:tcPr>
            <w:tcW w:w="1903" w:type="pct"/>
            <w:vAlign w:val="center"/>
          </w:tcPr>
          <w:p w:rsidR="002E6620" w:rsidRDefault="002E6620" w:rsidP="000E0B74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Email</w:t>
            </w:r>
          </w:p>
        </w:tc>
      </w:tr>
      <w:tr w:rsidR="002E6620" w:rsidTr="00AC4A33">
        <w:trPr>
          <w:trHeight w:val="454"/>
          <w:jc w:val="center"/>
        </w:trPr>
        <w:tc>
          <w:tcPr>
            <w:tcW w:w="1387" w:type="pct"/>
            <w:vAlign w:val="center"/>
          </w:tcPr>
          <w:p w:rsidR="002E6620" w:rsidRDefault="00C24AF7" w:rsidP="000E0B74">
            <w:r>
              <w:t>Head of Cultural Services</w:t>
            </w:r>
          </w:p>
        </w:tc>
        <w:tc>
          <w:tcPr>
            <w:tcW w:w="950" w:type="pct"/>
            <w:vAlign w:val="center"/>
          </w:tcPr>
          <w:p w:rsidR="002E6620" w:rsidRDefault="00446C6D" w:rsidP="000E0B74">
            <w:r>
              <w:t>Ian Watson</w:t>
            </w:r>
          </w:p>
        </w:tc>
        <w:tc>
          <w:tcPr>
            <w:tcW w:w="760" w:type="pct"/>
            <w:vAlign w:val="center"/>
          </w:tcPr>
          <w:p w:rsidR="002E6620" w:rsidRDefault="00F16F1D" w:rsidP="000E0B74">
            <w:r>
              <w:t>01772 536287</w:t>
            </w:r>
          </w:p>
        </w:tc>
        <w:tc>
          <w:tcPr>
            <w:tcW w:w="1903" w:type="pct"/>
            <w:vAlign w:val="center"/>
          </w:tcPr>
          <w:p w:rsidR="002E6620" w:rsidRDefault="008B66BC" w:rsidP="000E0B74">
            <w:hyperlink r:id="rId13" w:history="1">
              <w:r w:rsidR="007D731F" w:rsidRPr="00E14A15">
                <w:rPr>
                  <w:rStyle w:val="Hyperlink"/>
                </w:rPr>
                <w:t>ian.watson@lancashire.gov.uk</w:t>
              </w:r>
            </w:hyperlink>
          </w:p>
        </w:tc>
      </w:tr>
      <w:tr w:rsidR="002E6620" w:rsidTr="00AC4A33">
        <w:trPr>
          <w:trHeight w:val="454"/>
          <w:jc w:val="center"/>
        </w:trPr>
        <w:tc>
          <w:tcPr>
            <w:tcW w:w="1387" w:type="pct"/>
            <w:vAlign w:val="center"/>
          </w:tcPr>
          <w:p w:rsidR="002E6620" w:rsidRDefault="00FA159C" w:rsidP="000E0B74"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Libraries</w:t>
                </w:r>
              </w:smartTag>
            </w:smartTag>
            <w:r>
              <w:t xml:space="preserve"> Manager</w:t>
            </w:r>
          </w:p>
        </w:tc>
        <w:tc>
          <w:tcPr>
            <w:tcW w:w="950" w:type="pct"/>
            <w:vAlign w:val="center"/>
          </w:tcPr>
          <w:p w:rsidR="002E6620" w:rsidRDefault="00446C6D" w:rsidP="000E0B74">
            <w:r>
              <w:t>Julie Bell</w:t>
            </w:r>
          </w:p>
        </w:tc>
        <w:tc>
          <w:tcPr>
            <w:tcW w:w="760" w:type="pct"/>
            <w:vAlign w:val="center"/>
          </w:tcPr>
          <w:p w:rsidR="002E6620" w:rsidRDefault="00FA159C" w:rsidP="000E0B74">
            <w:r>
              <w:t>01772 536727</w:t>
            </w:r>
          </w:p>
        </w:tc>
        <w:tc>
          <w:tcPr>
            <w:tcW w:w="1903" w:type="pct"/>
            <w:vAlign w:val="center"/>
          </w:tcPr>
          <w:p w:rsidR="002E6620" w:rsidRDefault="008B66BC" w:rsidP="000E0B74">
            <w:hyperlink r:id="rId14" w:history="1">
              <w:r w:rsidR="007D731F" w:rsidRPr="00E14A15">
                <w:rPr>
                  <w:rStyle w:val="Hyperlink"/>
                </w:rPr>
                <w:t>julie.bell@lancashire.gov.uk</w:t>
              </w:r>
            </w:hyperlink>
          </w:p>
        </w:tc>
      </w:tr>
      <w:tr w:rsidR="002E6620" w:rsidTr="00AC4A33">
        <w:trPr>
          <w:trHeight w:val="454"/>
          <w:jc w:val="center"/>
        </w:trPr>
        <w:tc>
          <w:tcPr>
            <w:tcW w:w="1387" w:type="pct"/>
            <w:vAlign w:val="center"/>
          </w:tcPr>
          <w:p w:rsidR="002E6620" w:rsidRDefault="0014393A" w:rsidP="000E0B74">
            <w:r>
              <w:t>County Heritage Manager</w:t>
            </w:r>
          </w:p>
        </w:tc>
        <w:tc>
          <w:tcPr>
            <w:tcW w:w="950" w:type="pct"/>
            <w:vAlign w:val="center"/>
          </w:tcPr>
          <w:p w:rsidR="002E6620" w:rsidRDefault="00446C6D" w:rsidP="000E0B74">
            <w:r>
              <w:t>Bruce Jackson</w:t>
            </w:r>
          </w:p>
        </w:tc>
        <w:tc>
          <w:tcPr>
            <w:tcW w:w="760" w:type="pct"/>
            <w:vAlign w:val="center"/>
          </w:tcPr>
          <w:p w:rsidR="002E6620" w:rsidRDefault="0014393A" w:rsidP="000E0B74">
            <w:r>
              <w:t>01772 533026</w:t>
            </w:r>
          </w:p>
        </w:tc>
        <w:tc>
          <w:tcPr>
            <w:tcW w:w="1903" w:type="pct"/>
            <w:vAlign w:val="center"/>
          </w:tcPr>
          <w:p w:rsidR="002E6620" w:rsidRDefault="008B66BC" w:rsidP="000E0B74">
            <w:hyperlink r:id="rId15" w:history="1">
              <w:r w:rsidR="0026120B" w:rsidRPr="00E14A15">
                <w:rPr>
                  <w:rStyle w:val="Hyperlink"/>
                </w:rPr>
                <w:t>bruce.jackson@lancashire.gov.uk</w:t>
              </w:r>
            </w:hyperlink>
          </w:p>
        </w:tc>
      </w:tr>
      <w:tr w:rsidR="002E6620" w:rsidTr="00AC4A33">
        <w:trPr>
          <w:trHeight w:val="454"/>
          <w:jc w:val="center"/>
        </w:trPr>
        <w:tc>
          <w:tcPr>
            <w:tcW w:w="1387" w:type="pct"/>
            <w:vAlign w:val="center"/>
          </w:tcPr>
          <w:p w:rsidR="002E6620" w:rsidRDefault="00804BC8" w:rsidP="000E0B74">
            <w:r>
              <w:t>Cultural Services Development Manager</w:t>
            </w:r>
          </w:p>
        </w:tc>
        <w:tc>
          <w:tcPr>
            <w:tcW w:w="950" w:type="pct"/>
            <w:vAlign w:val="center"/>
          </w:tcPr>
          <w:p w:rsidR="002E6620" w:rsidRDefault="00446C6D" w:rsidP="000E0B74">
            <w:r>
              <w:t>David Blackett</w:t>
            </w:r>
          </w:p>
        </w:tc>
        <w:tc>
          <w:tcPr>
            <w:tcW w:w="760" w:type="pct"/>
            <w:vAlign w:val="center"/>
          </w:tcPr>
          <w:p w:rsidR="002E6620" w:rsidRDefault="00804BC8" w:rsidP="000E0B74">
            <w:r>
              <w:t>01772 534091</w:t>
            </w:r>
          </w:p>
        </w:tc>
        <w:tc>
          <w:tcPr>
            <w:tcW w:w="1903" w:type="pct"/>
            <w:vAlign w:val="center"/>
          </w:tcPr>
          <w:p w:rsidR="002E6620" w:rsidRDefault="008B66BC" w:rsidP="000E0B74">
            <w:hyperlink r:id="rId16" w:history="1">
              <w:r w:rsidR="0026120B" w:rsidRPr="00E14A15">
                <w:rPr>
                  <w:rStyle w:val="Hyperlink"/>
                </w:rPr>
                <w:t>david.blackett@lancashire.gov.uk</w:t>
              </w:r>
            </w:hyperlink>
          </w:p>
        </w:tc>
      </w:tr>
    </w:tbl>
    <w:p w:rsidR="00585102" w:rsidRDefault="00585102"/>
    <w:p w:rsidR="00303902" w:rsidRPr="005E638E" w:rsidRDefault="00DD0157" w:rsidP="004C677C">
      <w:pPr>
        <w:pStyle w:val="BPHeading1"/>
      </w:pPr>
      <w:bookmarkStart w:id="32" w:name="_Toc225926118"/>
      <w:bookmarkStart w:id="33" w:name="_Toc283280750"/>
      <w:r>
        <w:t>Par</w:t>
      </w:r>
      <w:r w:rsidR="00303902" w:rsidRPr="005E638E">
        <w:t>tnerships</w:t>
      </w:r>
      <w:bookmarkEnd w:id="32"/>
      <w:bookmarkEnd w:id="33"/>
    </w:p>
    <w:p w:rsidR="00303902" w:rsidRDefault="00303902"/>
    <w:p w:rsidR="00303902" w:rsidRDefault="00303902">
      <w:r>
        <w:t>These are the registered partnerships that we are a part of:</w:t>
      </w:r>
    </w:p>
    <w:p w:rsidR="004252EE" w:rsidRDefault="00BE1015" w:rsidP="008866DD">
      <w:pPr>
        <w:numPr>
          <w:ilvl w:val="0"/>
          <w:numId w:val="25"/>
        </w:numPr>
      </w:pPr>
      <w:r>
        <w:t>UCLAN</w:t>
      </w:r>
    </w:p>
    <w:p w:rsidR="00BE1015" w:rsidRDefault="00BE1015" w:rsidP="008866DD">
      <w:pPr>
        <w:numPr>
          <w:ilvl w:val="0"/>
          <w:numId w:val="25"/>
        </w:numPr>
      </w:pPr>
      <w:proofErr w:type="spellStart"/>
      <w:r>
        <w:t>Booktrust</w:t>
      </w:r>
      <w:proofErr w:type="spellEnd"/>
    </w:p>
    <w:p w:rsidR="00BE1015" w:rsidRDefault="00BE1015" w:rsidP="008866DD">
      <w:pPr>
        <w:numPr>
          <w:ilvl w:val="0"/>
          <w:numId w:val="25"/>
        </w:numPr>
      </w:pPr>
      <w:r>
        <w:t>Irwell Sculpture Trail</w:t>
      </w:r>
    </w:p>
    <w:p w:rsidR="00BE1015" w:rsidRDefault="002B6D0D" w:rsidP="008866DD">
      <w:pPr>
        <w:numPr>
          <w:ilvl w:val="0"/>
          <w:numId w:val="25"/>
        </w:numPr>
      </w:pPr>
      <w:r>
        <w:t>Blaze (with Blackpool Council and Creative Lancashire)</w:t>
      </w:r>
    </w:p>
    <w:p w:rsidR="002B6D0D" w:rsidRDefault="002B6D0D" w:rsidP="008866DD">
      <w:pPr>
        <w:numPr>
          <w:ilvl w:val="0"/>
          <w:numId w:val="25"/>
        </w:numPr>
      </w:pPr>
      <w:r>
        <w:t>Lancashire and Blackpool Tourist Board</w:t>
      </w:r>
    </w:p>
    <w:p w:rsidR="002B6D0D" w:rsidRDefault="00A679A6" w:rsidP="008866DD">
      <w:pPr>
        <w:numPr>
          <w:ilvl w:val="0"/>
          <w:numId w:val="25"/>
        </w:numPr>
      </w:pPr>
      <w:r>
        <w:t>North West Sound Archive</w:t>
      </w:r>
    </w:p>
    <w:p w:rsidR="004252EE" w:rsidRDefault="004252EE" w:rsidP="004252EE"/>
    <w:p w:rsidR="00F34D4B" w:rsidRPr="00A53B92" w:rsidRDefault="00920318" w:rsidP="004252EE">
      <w:r>
        <w:t xml:space="preserve">Any additional partnerships that may be achieved during the course of the year will </w:t>
      </w:r>
      <w:r w:rsidR="005C7492">
        <w:t xml:space="preserve">need to </w:t>
      </w:r>
      <w:r>
        <w:t>be regis</w:t>
      </w:r>
      <w:r w:rsidR="00797B0F">
        <w:t xml:space="preserve">tered on the corporate database.  Corporate Partnerships intranet site </w:t>
      </w:r>
      <w:hyperlink r:id="rId17" w:history="1">
        <w:r w:rsidR="00797B0F" w:rsidRPr="00883435">
          <w:rPr>
            <w:rStyle w:val="Hyperlink"/>
          </w:rPr>
          <w:t>http://lccintranet2/corporate/web/view.asp?siteid=3833&amp;pageid=13700&amp;e=e</w:t>
        </w:r>
      </w:hyperlink>
    </w:p>
    <w:p w:rsidR="00F34D4B" w:rsidRPr="005E638E" w:rsidRDefault="00F34D4B" w:rsidP="004252EE">
      <w:pPr>
        <w:rPr>
          <w:color w:val="0000FF"/>
        </w:rPr>
      </w:pPr>
    </w:p>
    <w:p w:rsidR="005E638E" w:rsidRDefault="005E638E" w:rsidP="0034388B">
      <w:pPr>
        <w:ind w:left="360"/>
      </w:pPr>
    </w:p>
    <w:p w:rsidR="002E6620" w:rsidRPr="006460AE" w:rsidRDefault="008B66BC" w:rsidP="002E6620">
      <w:pPr>
        <w:rPr>
          <w:color w:val="0000FF"/>
        </w:rPr>
      </w:pPr>
      <w:hyperlink w:anchor="Contents" w:history="1">
        <w:r w:rsidR="002E6620" w:rsidRPr="006460AE">
          <w:rPr>
            <w:rStyle w:val="FollowedHyperlink"/>
            <w:color w:val="0000FF"/>
          </w:rPr>
          <w:t>Back to Contents</w:t>
        </w:r>
      </w:hyperlink>
    </w:p>
    <w:p w:rsidR="00585102" w:rsidRPr="005E638E" w:rsidRDefault="00585102" w:rsidP="004C677C">
      <w:pPr>
        <w:pStyle w:val="BPHeaders"/>
      </w:pPr>
      <w:bookmarkStart w:id="34" w:name="_Toc283280751"/>
      <w:r w:rsidRPr="005E638E">
        <w:lastRenderedPageBreak/>
        <w:t xml:space="preserve">Service </w:t>
      </w:r>
      <w:r w:rsidR="002B2D19">
        <w:t>O</w:t>
      </w:r>
      <w:r w:rsidRPr="005E638E">
        <w:t>verview</w:t>
      </w:r>
      <w:r w:rsidR="00F10D17">
        <w:t xml:space="preserve"> – </w:t>
      </w:r>
      <w:r w:rsidR="001E43C8">
        <w:t>2010/11</w:t>
      </w:r>
      <w:bookmarkEnd w:id="34"/>
    </w:p>
    <w:p w:rsidR="00585102" w:rsidRDefault="008B66BC">
      <w:pPr>
        <w:rPr>
          <w:shadow/>
        </w:rPr>
      </w:pPr>
      <w:r w:rsidRPr="008B66BC">
        <w:rPr>
          <w:noProof/>
          <w:sz w:val="20"/>
          <w:lang w:val="en-US"/>
        </w:rPr>
        <w:pict>
          <v:rect id="_x0000_s1028" style="position:absolute;margin-left:-12pt;margin-top:-31pt;width:750pt;height:32.1pt;z-index:-251659776;mso-wrap-edited:f" filled="f" fillcolor="#fff200" strokeweight="1pt">
            <v:fill color2="#4d0808"/>
          </v:rect>
        </w:pict>
      </w:r>
    </w:p>
    <w:p w:rsidR="001E43C8" w:rsidRPr="00DD0157" w:rsidRDefault="001E43C8" w:rsidP="004C677C">
      <w:pPr>
        <w:pStyle w:val="BPHeading1"/>
        <w:rPr>
          <w:sz w:val="32"/>
          <w:szCs w:val="32"/>
        </w:rPr>
      </w:pPr>
      <w:bookmarkStart w:id="35" w:name="_Toc283280752"/>
      <w:r w:rsidRPr="001E43C8">
        <w:rPr>
          <w:sz w:val="32"/>
          <w:szCs w:val="32"/>
        </w:rPr>
        <w:t>In 2010/11:</w:t>
      </w:r>
      <w:bookmarkEnd w:id="35"/>
    </w:p>
    <w:p w:rsidR="00585102" w:rsidRPr="001E43C8" w:rsidRDefault="001E43C8" w:rsidP="004C677C">
      <w:pPr>
        <w:pStyle w:val="BPHeading1"/>
        <w:rPr>
          <w:u w:val="none"/>
        </w:rPr>
      </w:pPr>
      <w:bookmarkStart w:id="36" w:name="_Toc283280753"/>
      <w:r w:rsidRPr="001E43C8">
        <w:rPr>
          <w:u w:val="none"/>
        </w:rPr>
        <w:t xml:space="preserve">Our </w:t>
      </w:r>
      <w:r w:rsidR="00585102" w:rsidRPr="001E43C8">
        <w:rPr>
          <w:u w:val="none"/>
        </w:rPr>
        <w:t>Successes</w:t>
      </w:r>
      <w:r w:rsidRPr="001E43C8">
        <w:rPr>
          <w:u w:val="none"/>
        </w:rPr>
        <w:t xml:space="preserve"> were:</w:t>
      </w:r>
      <w:bookmarkEnd w:id="36"/>
    </w:p>
    <w:p w:rsidR="00585102" w:rsidRPr="003702BD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 xml:space="preserve">Completed Phase 1 of </w:t>
      </w:r>
      <w:r w:rsidR="00C24AF7">
        <w:rPr>
          <w:bCs/>
        </w:rPr>
        <w:t xml:space="preserve">Cultural Services </w:t>
      </w:r>
      <w:r>
        <w:rPr>
          <w:bCs/>
        </w:rPr>
        <w:t>restructure</w:t>
      </w:r>
    </w:p>
    <w:p w:rsidR="003702BD" w:rsidRPr="003702BD" w:rsidRDefault="00A679A6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 xml:space="preserve">Phase2 of the Regenerate programme of capital investment in libraries completed – Kirkham, Penwortham; three libraries completed as part of the  Big Lottery funded project – Colne, Haslingden and Lancaster; </w:t>
      </w:r>
      <w:r w:rsidR="00E57FCF">
        <w:rPr>
          <w:bCs/>
        </w:rPr>
        <w:t xml:space="preserve">Children's Centres built onto existing libraries at </w:t>
      </w:r>
      <w:proofErr w:type="spellStart"/>
      <w:r w:rsidR="00E57FCF">
        <w:rPr>
          <w:bCs/>
        </w:rPr>
        <w:t>Lostock</w:t>
      </w:r>
      <w:proofErr w:type="spellEnd"/>
      <w:r w:rsidR="00E57FCF">
        <w:rPr>
          <w:bCs/>
        </w:rPr>
        <w:t xml:space="preserve"> Hall, </w:t>
      </w:r>
      <w:proofErr w:type="spellStart"/>
      <w:r w:rsidR="00E57FCF">
        <w:rPr>
          <w:bCs/>
        </w:rPr>
        <w:t>Whalley</w:t>
      </w:r>
      <w:proofErr w:type="spellEnd"/>
      <w:r w:rsidR="00E57FCF">
        <w:rPr>
          <w:bCs/>
        </w:rPr>
        <w:t xml:space="preserve">, </w:t>
      </w:r>
      <w:proofErr w:type="spellStart"/>
      <w:r w:rsidR="00E57FCF">
        <w:rPr>
          <w:bCs/>
        </w:rPr>
        <w:t>Adlington</w:t>
      </w:r>
      <w:proofErr w:type="spellEnd"/>
      <w:r w:rsidR="00E57FCF">
        <w:rPr>
          <w:bCs/>
        </w:rPr>
        <w:t xml:space="preserve">, </w:t>
      </w:r>
      <w:proofErr w:type="spellStart"/>
      <w:r w:rsidR="00E57FCF">
        <w:rPr>
          <w:bCs/>
        </w:rPr>
        <w:t>Cleveleys</w:t>
      </w:r>
      <w:proofErr w:type="spellEnd"/>
      <w:r w:rsidR="00E57FCF">
        <w:rPr>
          <w:bCs/>
        </w:rPr>
        <w:t xml:space="preserve">, </w:t>
      </w:r>
      <w:proofErr w:type="spellStart"/>
      <w:r w:rsidR="00E57FCF">
        <w:rPr>
          <w:bCs/>
        </w:rPr>
        <w:t>Halton</w:t>
      </w:r>
      <w:proofErr w:type="spellEnd"/>
      <w:r w:rsidR="00E57FCF">
        <w:rPr>
          <w:bCs/>
        </w:rPr>
        <w:t xml:space="preserve">, </w:t>
      </w:r>
      <w:proofErr w:type="spellStart"/>
      <w:r w:rsidR="00E57FCF">
        <w:rPr>
          <w:bCs/>
        </w:rPr>
        <w:t>Trawden</w:t>
      </w:r>
      <w:proofErr w:type="spellEnd"/>
      <w:r w:rsidR="00E57FCF">
        <w:rPr>
          <w:bCs/>
        </w:rPr>
        <w:t xml:space="preserve">; new library built at </w:t>
      </w:r>
      <w:proofErr w:type="spellStart"/>
      <w:r w:rsidR="00E57FCF">
        <w:rPr>
          <w:bCs/>
        </w:rPr>
        <w:t>Heysham</w:t>
      </w:r>
      <w:proofErr w:type="spellEnd"/>
      <w:r w:rsidR="00E57FCF">
        <w:rPr>
          <w:bCs/>
        </w:rPr>
        <w:t xml:space="preserve"> on the site of the previous library.</w:t>
      </w:r>
      <w:r w:rsidR="0060758C">
        <w:rPr>
          <w:bCs/>
        </w:rPr>
        <w:t xml:space="preserve"> </w:t>
      </w:r>
      <w:r w:rsidR="00E57FCF">
        <w:rPr>
          <w:bCs/>
        </w:rPr>
        <w:t>Successful Friends of Libraries established at Haslingden, Colne, Lancaster, Thornton and St Annes. The latter successf</w:t>
      </w:r>
      <w:r w:rsidR="00F90E89">
        <w:rPr>
          <w:bCs/>
        </w:rPr>
        <w:t>ully bidding for £50,000 funding</w:t>
      </w:r>
      <w:r w:rsidR="00E57FCF">
        <w:rPr>
          <w:bCs/>
        </w:rPr>
        <w:t xml:space="preserve"> to improve the garden area.</w:t>
      </w:r>
    </w:p>
    <w:p w:rsidR="003702BD" w:rsidRPr="00234453" w:rsidRDefault="00E57FCF" w:rsidP="003702BD">
      <w:pPr>
        <w:numPr>
          <w:ilvl w:val="0"/>
          <w:numId w:val="25"/>
        </w:numPr>
        <w:spacing w:before="120" w:after="120"/>
        <w:rPr>
          <w:b/>
          <w:bCs/>
        </w:rPr>
      </w:pPr>
      <w:r w:rsidRPr="00234453">
        <w:rPr>
          <w:bCs/>
        </w:rPr>
        <w:t>Areas for young people created at Burnley and Skelmersdale as part of the Youth Culture Offer</w:t>
      </w:r>
    </w:p>
    <w:p w:rsidR="003702BD" w:rsidRPr="00234453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 w:rsidRPr="00234453">
        <w:rPr>
          <w:bCs/>
        </w:rPr>
        <w:t>Self service</w:t>
      </w:r>
      <w:r w:rsidR="00061961" w:rsidRPr="00061961">
        <w:rPr>
          <w:bCs/>
        </w:rPr>
        <w:t xml:space="preserve"> introduced into 21</w:t>
      </w:r>
      <w:r w:rsidR="00B060CB">
        <w:rPr>
          <w:bCs/>
        </w:rPr>
        <w:t xml:space="preserve"> li</w:t>
      </w:r>
      <w:r w:rsidR="00061961" w:rsidRPr="00061961">
        <w:rPr>
          <w:bCs/>
        </w:rPr>
        <w:t>braries by the end of April 2011</w:t>
      </w:r>
    </w:p>
    <w:p w:rsidR="003702BD" w:rsidRPr="00234453" w:rsidRDefault="00061961" w:rsidP="003702BD">
      <w:pPr>
        <w:numPr>
          <w:ilvl w:val="0"/>
          <w:numId w:val="25"/>
        </w:numPr>
        <w:spacing w:before="120" w:after="120"/>
        <w:rPr>
          <w:b/>
          <w:bCs/>
        </w:rPr>
      </w:pPr>
      <w:r w:rsidRPr="00061961">
        <w:rPr>
          <w:bCs/>
        </w:rPr>
        <w:t xml:space="preserve">Maintaining </w:t>
      </w:r>
      <w:r w:rsidR="00234453">
        <w:rPr>
          <w:bCs/>
        </w:rPr>
        <w:t>"Business as usual"</w:t>
      </w:r>
    </w:p>
    <w:p w:rsidR="00674A0C" w:rsidRPr="00674A0C" w:rsidRDefault="00234453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 xml:space="preserve">Refurbishment of </w:t>
      </w:r>
      <w:r w:rsidR="00B060CB">
        <w:rPr>
          <w:bCs/>
        </w:rPr>
        <w:t>Fleetwood Maritime M</w:t>
      </w:r>
      <w:r w:rsidR="00061961" w:rsidRPr="00061961">
        <w:rPr>
          <w:bCs/>
        </w:rPr>
        <w:t>useum caf</w:t>
      </w:r>
      <w:r w:rsidR="00674A0C">
        <w:rPr>
          <w:bCs/>
        </w:rPr>
        <w:t>e</w:t>
      </w:r>
    </w:p>
    <w:p w:rsidR="003702BD" w:rsidRPr="00234453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 w:rsidRPr="00234453">
        <w:rPr>
          <w:bCs/>
        </w:rPr>
        <w:t>Record Office plant replacement begun</w:t>
      </w:r>
      <w:r w:rsidR="00DE1DF9" w:rsidRPr="00234453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2BD" w:rsidRPr="003702BD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 w:rsidRPr="00234453">
        <w:rPr>
          <w:bCs/>
        </w:rPr>
        <w:t>Digital preservation processes impr</w:t>
      </w:r>
      <w:r w:rsidR="00061961" w:rsidRPr="00061961">
        <w:rPr>
          <w:b/>
          <w:bCs/>
        </w:rPr>
        <w:t>o</w:t>
      </w:r>
      <w:r>
        <w:rPr>
          <w:bCs/>
        </w:rPr>
        <w:t xml:space="preserve">ved and national </w:t>
      </w:r>
      <w:r w:rsidR="00595E57">
        <w:rPr>
          <w:bCs/>
        </w:rPr>
        <w:t>"</w:t>
      </w:r>
      <w:r>
        <w:rPr>
          <w:bCs/>
        </w:rPr>
        <w:t>ground breaker</w:t>
      </w:r>
      <w:r w:rsidR="00595E57">
        <w:rPr>
          <w:bCs/>
        </w:rPr>
        <w:t>"</w:t>
      </w:r>
    </w:p>
    <w:p w:rsidR="003702BD" w:rsidRPr="003702BD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Info</w:t>
      </w:r>
      <w:r w:rsidR="00E5483E">
        <w:rPr>
          <w:bCs/>
        </w:rPr>
        <w:t>rmation</w:t>
      </w:r>
      <w:r>
        <w:rPr>
          <w:bCs/>
        </w:rPr>
        <w:t xml:space="preserve"> strategy completed</w:t>
      </w:r>
    </w:p>
    <w:p w:rsidR="003702BD" w:rsidRPr="003702BD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 w:rsidRPr="008F51F0">
        <w:rPr>
          <w:bCs/>
        </w:rPr>
        <w:t>Staffing rev</w:t>
      </w:r>
      <w:r>
        <w:rPr>
          <w:bCs/>
        </w:rPr>
        <w:t>i</w:t>
      </w:r>
      <w:r w:rsidR="00061961" w:rsidRPr="00DD0157">
        <w:rPr>
          <w:bCs/>
        </w:rPr>
        <w:t>e</w:t>
      </w:r>
      <w:r>
        <w:rPr>
          <w:bCs/>
        </w:rPr>
        <w:t>w</w:t>
      </w:r>
      <w:r w:rsidR="008F51F0">
        <w:rPr>
          <w:bCs/>
        </w:rPr>
        <w:t xml:space="preserve"> of Grade 4s and Grade 6s  completed in Library Service</w:t>
      </w:r>
    </w:p>
    <w:p w:rsidR="003702BD" w:rsidRPr="003702BD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New shared services with 6 children's centres</w:t>
      </w:r>
    </w:p>
    <w:p w:rsidR="003702BD" w:rsidRPr="003702BD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Successful bid for Capital Schemes</w:t>
      </w:r>
    </w:p>
    <w:p w:rsidR="003702BD" w:rsidRPr="003D2D71" w:rsidRDefault="003702BD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Record Office performance improves in national assessment</w:t>
      </w:r>
    </w:p>
    <w:p w:rsidR="003D2D71" w:rsidRPr="003D2D71" w:rsidRDefault="003D2D71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Museum of Lanc</w:t>
      </w:r>
      <w:r w:rsidR="008F51F0">
        <w:rPr>
          <w:bCs/>
        </w:rPr>
        <w:t>a</w:t>
      </w:r>
      <w:r>
        <w:rPr>
          <w:bCs/>
        </w:rPr>
        <w:t>s</w:t>
      </w:r>
      <w:r w:rsidR="008F51F0">
        <w:rPr>
          <w:bCs/>
        </w:rPr>
        <w:t>hire</w:t>
      </w:r>
      <w:r>
        <w:rPr>
          <w:bCs/>
        </w:rPr>
        <w:t xml:space="preserve"> project has begun</w:t>
      </w:r>
    </w:p>
    <w:p w:rsidR="003D2D71" w:rsidRPr="003D2D71" w:rsidRDefault="003D2D71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Visitor numbers holding up or rising at museums</w:t>
      </w:r>
    </w:p>
    <w:p w:rsidR="003D2D71" w:rsidRPr="003D2D71" w:rsidRDefault="003D2D71" w:rsidP="003702BD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Increase of community engagement/partnerships</w:t>
      </w:r>
    </w:p>
    <w:p w:rsidR="003D2D71" w:rsidRDefault="008F51F0" w:rsidP="00360020">
      <w:pPr>
        <w:numPr>
          <w:ilvl w:val="0"/>
          <w:numId w:val="25"/>
        </w:numPr>
        <w:spacing w:before="120" w:after="120"/>
        <w:rPr>
          <w:b/>
          <w:bCs/>
        </w:rPr>
      </w:pPr>
      <w:r>
        <w:rPr>
          <w:bCs/>
        </w:rPr>
        <w:t>Range of l</w:t>
      </w:r>
      <w:r w:rsidR="003D2D71">
        <w:rPr>
          <w:bCs/>
        </w:rPr>
        <w:t>ibrary developments</w:t>
      </w:r>
      <w:r w:rsidR="00B060CB">
        <w:rPr>
          <w:bCs/>
        </w:rPr>
        <w:t xml:space="preserve"> including</w:t>
      </w:r>
      <w:r>
        <w:rPr>
          <w:bCs/>
        </w:rPr>
        <w:t>:</w:t>
      </w:r>
    </w:p>
    <w:p w:rsidR="00360020" w:rsidRDefault="008F51F0" w:rsidP="00674A0C">
      <w:pPr>
        <w:numPr>
          <w:ilvl w:val="1"/>
          <w:numId w:val="25"/>
        </w:numPr>
        <w:spacing w:before="120" w:after="120"/>
        <w:rPr>
          <w:bCs/>
        </w:rPr>
      </w:pPr>
      <w:r>
        <w:rPr>
          <w:bCs/>
        </w:rPr>
        <w:lastRenderedPageBreak/>
        <w:t xml:space="preserve">Living </w:t>
      </w:r>
      <w:r w:rsidR="00B060CB">
        <w:rPr>
          <w:bCs/>
        </w:rPr>
        <w:t>L</w:t>
      </w:r>
      <w:r w:rsidR="00360020">
        <w:rPr>
          <w:bCs/>
        </w:rPr>
        <w:t>ibraries</w:t>
      </w:r>
    </w:p>
    <w:p w:rsidR="00360020" w:rsidRDefault="00B060CB" w:rsidP="00674A0C">
      <w:pPr>
        <w:numPr>
          <w:ilvl w:val="1"/>
          <w:numId w:val="25"/>
        </w:numPr>
        <w:spacing w:before="120" w:after="120"/>
        <w:rPr>
          <w:bCs/>
        </w:rPr>
      </w:pPr>
      <w:r>
        <w:rPr>
          <w:bCs/>
        </w:rPr>
        <w:t>Get O</w:t>
      </w:r>
      <w:r w:rsidR="00360020">
        <w:rPr>
          <w:bCs/>
        </w:rPr>
        <w:t>nline</w:t>
      </w:r>
    </w:p>
    <w:p w:rsidR="008F51F0" w:rsidRDefault="008F51F0" w:rsidP="00674A0C">
      <w:pPr>
        <w:numPr>
          <w:ilvl w:val="1"/>
          <w:numId w:val="25"/>
        </w:numPr>
        <w:spacing w:before="120" w:after="120"/>
        <w:rPr>
          <w:bCs/>
        </w:rPr>
      </w:pPr>
      <w:r>
        <w:rPr>
          <w:bCs/>
        </w:rPr>
        <w:t>Get into Reading</w:t>
      </w:r>
    </w:p>
    <w:p w:rsidR="00360020" w:rsidRDefault="00360020" w:rsidP="00674A0C">
      <w:pPr>
        <w:numPr>
          <w:ilvl w:val="1"/>
          <w:numId w:val="25"/>
        </w:numPr>
        <w:spacing w:before="120" w:after="120"/>
        <w:rPr>
          <w:bCs/>
        </w:rPr>
      </w:pPr>
      <w:r>
        <w:rPr>
          <w:bCs/>
        </w:rPr>
        <w:t>Lanc</w:t>
      </w:r>
      <w:r w:rsidR="008F51F0">
        <w:rPr>
          <w:bCs/>
        </w:rPr>
        <w:t>ashire</w:t>
      </w:r>
      <w:r w:rsidR="00B060CB">
        <w:rPr>
          <w:bCs/>
        </w:rPr>
        <w:t xml:space="preserve"> R</w:t>
      </w:r>
      <w:r>
        <w:rPr>
          <w:bCs/>
        </w:rPr>
        <w:t>eads</w:t>
      </w:r>
    </w:p>
    <w:p w:rsidR="00A53B92" w:rsidRPr="00674A0C" w:rsidRDefault="00360020" w:rsidP="00674A0C">
      <w:pPr>
        <w:pStyle w:val="ListParagraph"/>
        <w:numPr>
          <w:ilvl w:val="1"/>
          <w:numId w:val="25"/>
        </w:numPr>
        <w:spacing w:before="120" w:after="120"/>
        <w:rPr>
          <w:bCs/>
        </w:rPr>
      </w:pPr>
      <w:r w:rsidRPr="00674A0C">
        <w:rPr>
          <w:bCs/>
        </w:rPr>
        <w:t>L</w:t>
      </w:r>
      <w:r w:rsidR="008F51F0" w:rsidRPr="00674A0C">
        <w:rPr>
          <w:bCs/>
        </w:rPr>
        <w:t>ancashire Book of the Year Award</w:t>
      </w:r>
    </w:p>
    <w:p w:rsidR="006A5626" w:rsidRDefault="006A5626" w:rsidP="00A53B92">
      <w:pPr>
        <w:spacing w:before="120" w:after="120"/>
        <w:rPr>
          <w:bCs/>
        </w:rPr>
      </w:pPr>
    </w:p>
    <w:p w:rsidR="006A5626" w:rsidRDefault="006A5626" w:rsidP="00A53B92">
      <w:pPr>
        <w:spacing w:before="120" w:after="120"/>
        <w:rPr>
          <w:bCs/>
        </w:rPr>
      </w:pPr>
    </w:p>
    <w:p w:rsidR="006A5626" w:rsidRDefault="006A5626" w:rsidP="00A53B92">
      <w:pPr>
        <w:spacing w:before="120" w:after="120"/>
        <w:rPr>
          <w:bCs/>
        </w:rPr>
      </w:pPr>
    </w:p>
    <w:p w:rsidR="006A5626" w:rsidRDefault="006A5626" w:rsidP="00A53B92">
      <w:pPr>
        <w:spacing w:before="120" w:after="120"/>
        <w:rPr>
          <w:bCs/>
        </w:rPr>
      </w:pPr>
    </w:p>
    <w:p w:rsidR="006A5626" w:rsidRDefault="006A5626" w:rsidP="00A53B92">
      <w:pPr>
        <w:spacing w:before="120" w:after="120"/>
        <w:rPr>
          <w:bCs/>
        </w:rPr>
      </w:pPr>
    </w:p>
    <w:p w:rsidR="00674A0C" w:rsidRDefault="00674A0C" w:rsidP="00A53B92">
      <w:pPr>
        <w:spacing w:before="120" w:after="120"/>
        <w:rPr>
          <w:bCs/>
        </w:rPr>
      </w:pPr>
    </w:p>
    <w:p w:rsidR="00DD0157" w:rsidRDefault="00DD0157">
      <w:pPr>
        <w:rPr>
          <w:bCs/>
        </w:rPr>
      </w:pPr>
      <w:r>
        <w:rPr>
          <w:bCs/>
        </w:rPr>
        <w:br w:type="page"/>
      </w:r>
    </w:p>
    <w:p w:rsidR="00585102" w:rsidRPr="008F51F0" w:rsidRDefault="00061961" w:rsidP="004C677C">
      <w:pPr>
        <w:pStyle w:val="BPHeading1"/>
        <w:rPr>
          <w:u w:val="none"/>
        </w:rPr>
      </w:pPr>
      <w:bookmarkStart w:id="37" w:name="_Toc283280754"/>
      <w:r w:rsidRPr="00061961">
        <w:rPr>
          <w:u w:val="none"/>
        </w:rPr>
        <w:lastRenderedPageBreak/>
        <w:t>Our Performance was:</w:t>
      </w:r>
      <w:bookmarkEnd w:id="37"/>
    </w:p>
    <w:tbl>
      <w:tblPr>
        <w:tblW w:w="128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061"/>
        <w:gridCol w:w="1339"/>
        <w:gridCol w:w="995"/>
        <w:gridCol w:w="947"/>
        <w:gridCol w:w="1183"/>
        <w:gridCol w:w="1050"/>
        <w:gridCol w:w="1239"/>
        <w:gridCol w:w="1083"/>
        <w:gridCol w:w="1083"/>
        <w:gridCol w:w="2900"/>
      </w:tblGrid>
      <w:tr w:rsidR="006A5626" w:rsidTr="006A5626">
        <w:trPr>
          <w:trHeight w:val="780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96969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Actual 09/10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Target 10/11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Collection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Forecast (RAG Rating)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Forecaster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PWG Owner(s)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Source &amp; Refs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Commentary</w:t>
            </w:r>
          </w:p>
        </w:tc>
      </w:tr>
      <w:tr w:rsidR="006A5626" w:rsidTr="006A5626">
        <w:trPr>
          <w:trHeight w:val="118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Indicator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Lancashire’s heritage </w:t>
            </w:r>
            <w:r>
              <w:rPr>
                <w:rFonts w:cs="Arial"/>
                <w:sz w:val="20"/>
                <w:szCs w:val="20"/>
              </w:rPr>
              <w:t>- increase visits to museums</w:t>
            </w:r>
          </w:p>
        </w:tc>
        <w:tc>
          <w:tcPr>
            <w:tcW w:w="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234,558 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Annual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Steve Lloyd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 Carroll / Dave Burnham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Actual Visitor Numbers </w:t>
            </w:r>
          </w:p>
        </w:tc>
        <w:tc>
          <w:tcPr>
            <w:tcW w:w="3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Factors which will influence target outcome:-</w:t>
            </w:r>
            <w:r>
              <w:rPr>
                <w:rFonts w:cs="Arial"/>
                <w:sz w:val="20"/>
                <w:szCs w:val="20"/>
              </w:rPr>
              <w:br/>
              <w:t>One museum site currently closed for redevelopment until late summer 2011.</w:t>
            </w:r>
            <w:r>
              <w:rPr>
                <w:rFonts w:cs="Arial"/>
                <w:sz w:val="20"/>
                <w:szCs w:val="20"/>
              </w:rPr>
              <w:br/>
              <w:t>Also loss of dedicated Marketing Team.</w:t>
            </w:r>
          </w:p>
        </w:tc>
      </w:tr>
      <w:tr w:rsidR="006A5626" w:rsidTr="006A5626">
        <w:trPr>
          <w:trHeight w:val="10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 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Lancashire’s culture</w:t>
            </w:r>
            <w:r>
              <w:rPr>
                <w:rFonts w:cs="Arial"/>
                <w:sz w:val="20"/>
                <w:szCs w:val="20"/>
              </w:rPr>
              <w:t xml:space="preserve"> - increase  use of Libraries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B060C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50.0</w:t>
            </w:r>
            <w:r w:rsidR="006A5626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Annual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Steve Lloyd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 Carroll / Dave Burnham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Active People Survey</w:t>
            </w:r>
          </w:p>
        </w:tc>
        <w:tc>
          <w:tcPr>
            <w:tcW w:w="3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26" w:rsidRDefault="006A562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target for 10/11 was set as an ambitious interim target in Ambition Lancashire with a 2025 target of 65%. The 10/11 figure looks likely to be 47 to 48%</w:t>
            </w:r>
          </w:p>
        </w:tc>
      </w:tr>
    </w:tbl>
    <w:p w:rsidR="00A53B92" w:rsidRPr="00797B0F" w:rsidRDefault="00A53B92" w:rsidP="00A53B92">
      <w:pPr>
        <w:spacing w:before="120" w:after="120"/>
        <w:rPr>
          <w:b/>
          <w:bCs/>
        </w:rPr>
      </w:pPr>
    </w:p>
    <w:p w:rsidR="00EC1A39" w:rsidRPr="001E43C8" w:rsidRDefault="001C7D9E" w:rsidP="004C677C">
      <w:pPr>
        <w:pStyle w:val="BPHeading1"/>
        <w:rPr>
          <w:u w:val="none"/>
        </w:rPr>
      </w:pPr>
      <w:bookmarkStart w:id="38" w:name="_Toc283280755"/>
      <w:r w:rsidRPr="001E43C8">
        <w:rPr>
          <w:u w:val="none"/>
        </w:rPr>
        <w:t>Our Customers</w:t>
      </w:r>
      <w:r w:rsidR="002A544F" w:rsidRPr="001E43C8">
        <w:rPr>
          <w:u w:val="none"/>
        </w:rPr>
        <w:t xml:space="preserve"> </w:t>
      </w:r>
      <w:r w:rsidR="001E43C8" w:rsidRPr="001E43C8">
        <w:rPr>
          <w:u w:val="none"/>
        </w:rPr>
        <w:t>said the following about us:</w:t>
      </w:r>
      <w:bookmarkEnd w:id="38"/>
    </w:p>
    <w:p w:rsidR="000368D3" w:rsidRDefault="00234902" w:rsidP="00C64B16">
      <w:pPr>
        <w:numPr>
          <w:ilvl w:val="0"/>
          <w:numId w:val="26"/>
        </w:numPr>
        <w:spacing w:before="60"/>
        <w:ind w:left="714" w:hanging="357"/>
      </w:pPr>
      <w:r>
        <w:t>"</w:t>
      </w:r>
      <w:r w:rsidR="00151F1D">
        <w:t>Dedicated staff</w:t>
      </w:r>
      <w:r>
        <w:t>"</w:t>
      </w:r>
    </w:p>
    <w:p w:rsidR="00151F1D" w:rsidRDefault="008F51F0" w:rsidP="00C64B16">
      <w:pPr>
        <w:numPr>
          <w:ilvl w:val="0"/>
          <w:numId w:val="26"/>
        </w:numPr>
        <w:spacing w:before="60"/>
        <w:ind w:left="714" w:hanging="357"/>
      </w:pPr>
      <w:r>
        <w:t xml:space="preserve">Ann Parker who spoke at the Library Service's staff conference in March, has recently contacted the service with further positive comments about the level of service she </w:t>
      </w:r>
      <w:r w:rsidR="008C7C88">
        <w:t>continues to receive</w:t>
      </w:r>
      <w:r>
        <w:t xml:space="preserve"> from libraries</w:t>
      </w:r>
    </w:p>
    <w:p w:rsidR="00151F1D" w:rsidRDefault="00151F1D" w:rsidP="00C64B16">
      <w:pPr>
        <w:numPr>
          <w:ilvl w:val="0"/>
          <w:numId w:val="26"/>
        </w:numPr>
        <w:spacing w:before="60"/>
        <w:ind w:left="714" w:hanging="357"/>
      </w:pPr>
      <w:r>
        <w:t xml:space="preserve">Visit to </w:t>
      </w:r>
      <w:smartTag w:uri="urn:schemas-microsoft-com:office:smarttags" w:element="place">
        <w:smartTag w:uri="urn:schemas-microsoft-com:office:smarttags" w:element="PlaceName">
          <w:r>
            <w:t>Lancaster</w:t>
          </w:r>
        </w:smartTag>
        <w:r>
          <w:t xml:space="preserve"> </w:t>
        </w:r>
        <w:smartTag w:uri="urn:schemas-microsoft-com:office:smarttags" w:element="PlaceType">
          <w:r>
            <w:t>Castle</w:t>
          </w:r>
        </w:smartTag>
      </w:smartTag>
      <w:r>
        <w:t xml:space="preserve"> best bit of all holiday (the guides) – see also "sitevisitor.com"</w:t>
      </w:r>
    </w:p>
    <w:p w:rsidR="00D97652" w:rsidRDefault="003D3F7D" w:rsidP="00C64B16">
      <w:pPr>
        <w:numPr>
          <w:ilvl w:val="0"/>
          <w:numId w:val="26"/>
        </w:numPr>
        <w:spacing w:before="60"/>
        <w:ind w:left="714" w:hanging="357"/>
      </w:pPr>
      <w:r>
        <w:t>Positive</w:t>
      </w:r>
      <w:r w:rsidR="00674A0C">
        <w:t xml:space="preserve"> viewpoints received from </w:t>
      </w:r>
      <w:r w:rsidR="008F51F0">
        <w:t>users of the Library Service</w:t>
      </w:r>
    </w:p>
    <w:p w:rsidR="00D97652" w:rsidRDefault="00D97652" w:rsidP="00C64B16">
      <w:pPr>
        <w:numPr>
          <w:ilvl w:val="0"/>
          <w:numId w:val="26"/>
        </w:numPr>
        <w:spacing w:before="60"/>
        <w:ind w:left="714" w:hanging="357"/>
      </w:pPr>
      <w:r>
        <w:t>Pres</w:t>
      </w:r>
      <w:r w:rsidR="00E5483E">
        <w:t>s</w:t>
      </w:r>
      <w:r>
        <w:t xml:space="preserve"> coverage of </w:t>
      </w:r>
      <w:r w:rsidR="008F51F0">
        <w:t xml:space="preserve">Get It Loud In Libraries (GILIL) </w:t>
      </w:r>
      <w:r>
        <w:t xml:space="preserve">has been </w:t>
      </w:r>
      <w:r w:rsidR="008F51F0">
        <w:t>national</w:t>
      </w:r>
    </w:p>
    <w:p w:rsidR="00D97652" w:rsidRDefault="00D97652" w:rsidP="00C64B16">
      <w:pPr>
        <w:numPr>
          <w:ilvl w:val="0"/>
          <w:numId w:val="26"/>
        </w:numPr>
        <w:spacing w:before="60"/>
        <w:ind w:left="714" w:hanging="357"/>
      </w:pPr>
      <w:r>
        <w:t xml:space="preserve">Results of last </w:t>
      </w:r>
      <w:r w:rsidR="00674A0C">
        <w:t>year's</w:t>
      </w:r>
      <w:r>
        <w:t xml:space="preserve"> </w:t>
      </w:r>
      <w:r w:rsidR="008F51F0">
        <w:t>Public Library User Survey were positive, particularly about staff</w:t>
      </w:r>
    </w:p>
    <w:p w:rsidR="00D97652" w:rsidRDefault="00D97652" w:rsidP="00C64B16">
      <w:pPr>
        <w:numPr>
          <w:ilvl w:val="0"/>
          <w:numId w:val="26"/>
        </w:numPr>
        <w:spacing w:before="60"/>
        <w:ind w:left="714" w:hanging="357"/>
      </w:pPr>
      <w:r>
        <w:t>Record Office is 'breaking new ground' on digital preservation</w:t>
      </w:r>
    </w:p>
    <w:p w:rsidR="00D97652" w:rsidRDefault="00D97652" w:rsidP="00C64B16">
      <w:pPr>
        <w:numPr>
          <w:ilvl w:val="0"/>
          <w:numId w:val="26"/>
        </w:numPr>
        <w:spacing w:before="60"/>
        <w:ind w:left="714" w:hanging="357"/>
      </w:pPr>
      <w:r>
        <w:t xml:space="preserve">Site visitor books </w:t>
      </w:r>
      <w:r w:rsidR="008F51F0">
        <w:t xml:space="preserve">demonstrate </w:t>
      </w:r>
      <w:r>
        <w:t xml:space="preserve"> positive feedback</w:t>
      </w:r>
      <w:r w:rsidR="008F51F0">
        <w:t xml:space="preserve"> from visitors</w:t>
      </w:r>
    </w:p>
    <w:p w:rsidR="00A53B92" w:rsidRDefault="00A53B92" w:rsidP="00A53B92"/>
    <w:p w:rsidR="001C7D9E" w:rsidRDefault="001C7D9E" w:rsidP="001C7D9E"/>
    <w:p w:rsidR="00674A0C" w:rsidRDefault="00674A0C" w:rsidP="004C677C">
      <w:pPr>
        <w:pStyle w:val="BPHeading1"/>
        <w:rPr>
          <w:u w:val="none"/>
        </w:rPr>
      </w:pPr>
      <w:bookmarkStart w:id="39" w:name="_Toc283280756"/>
    </w:p>
    <w:p w:rsidR="00674A0C" w:rsidRDefault="00674A0C" w:rsidP="004C677C">
      <w:pPr>
        <w:pStyle w:val="BPHeading1"/>
        <w:rPr>
          <w:u w:val="none"/>
        </w:rPr>
      </w:pPr>
    </w:p>
    <w:p w:rsidR="00585102" w:rsidRPr="001E43C8" w:rsidRDefault="001E43C8" w:rsidP="004C677C">
      <w:pPr>
        <w:pStyle w:val="BPHeading1"/>
        <w:rPr>
          <w:u w:val="none"/>
        </w:rPr>
      </w:pPr>
      <w:r w:rsidRPr="001E43C8">
        <w:rPr>
          <w:u w:val="none"/>
        </w:rPr>
        <w:t xml:space="preserve">Our </w:t>
      </w:r>
      <w:r w:rsidR="00F14310" w:rsidRPr="001E43C8">
        <w:rPr>
          <w:u w:val="none"/>
        </w:rPr>
        <w:t>Service</w:t>
      </w:r>
      <w:r w:rsidR="00585102" w:rsidRPr="001E43C8">
        <w:rPr>
          <w:u w:val="none"/>
        </w:rPr>
        <w:t xml:space="preserve"> </w:t>
      </w:r>
      <w:r w:rsidRPr="001E43C8">
        <w:rPr>
          <w:u w:val="none"/>
        </w:rPr>
        <w:t>Changed in the following ways:</w:t>
      </w:r>
      <w:bookmarkEnd w:id="39"/>
      <w:r w:rsidRPr="001E43C8">
        <w:rPr>
          <w:u w:val="none"/>
        </w:rPr>
        <w:t xml:space="preserve"> </w:t>
      </w:r>
    </w:p>
    <w:p w:rsidR="00585102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>Introduction of self service into 14 libraries bef</w:t>
      </w:r>
      <w:r w:rsidR="008654F6">
        <w:t xml:space="preserve">ore </w:t>
      </w:r>
      <w:r w:rsidR="008F51F0">
        <w:t xml:space="preserve">Christmas </w:t>
      </w:r>
      <w:r w:rsidR="008654F6">
        <w:t xml:space="preserve">and </w:t>
      </w:r>
      <w:r w:rsidR="008C7C88">
        <w:t xml:space="preserve">the </w:t>
      </w:r>
      <w:r w:rsidR="008654F6">
        <w:t xml:space="preserve">impact of </w:t>
      </w:r>
      <w:r w:rsidR="006A19B7">
        <w:t>new ways of working</w:t>
      </w:r>
    </w:p>
    <w:p w:rsidR="00451439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>Phase 1 restructure</w:t>
      </w:r>
    </w:p>
    <w:p w:rsidR="00451439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>CERMS roll-out continues – impact LCC wide</w:t>
      </w:r>
    </w:p>
    <w:p w:rsidR="00451439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>New</w:t>
      </w:r>
      <w:r w:rsidR="008F51F0">
        <w:t xml:space="preserve"> build at </w:t>
      </w:r>
      <w:r>
        <w:t xml:space="preserve"> </w:t>
      </w:r>
      <w:proofErr w:type="spellStart"/>
      <w:r>
        <w:t>Heysham</w:t>
      </w:r>
      <w:proofErr w:type="spellEnd"/>
      <w:r>
        <w:t xml:space="preserve"> and </w:t>
      </w:r>
      <w:r w:rsidR="008F51F0">
        <w:t>continued capital investment in libraries</w:t>
      </w:r>
    </w:p>
    <w:p w:rsidR="00451439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 xml:space="preserve">Creation of 'community history' within Heritage </w:t>
      </w:r>
      <w:r w:rsidR="008F51F0">
        <w:t xml:space="preserve">will </w:t>
      </w:r>
      <w:r>
        <w:t xml:space="preserve">create new outreach/engagement/volunteer opportunities </w:t>
      </w:r>
    </w:p>
    <w:p w:rsidR="00451439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>Communications and marketing staff centralised</w:t>
      </w:r>
    </w:p>
    <w:p w:rsidR="00451439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>Joint services</w:t>
      </w:r>
      <w:r w:rsidR="00F90E89">
        <w:t xml:space="preserve"> developed in libraries with</w:t>
      </w:r>
      <w:r>
        <w:t xml:space="preserve"> children's centres</w:t>
      </w:r>
      <w:r w:rsidR="00F90E89">
        <w:t xml:space="preserve"> being built onto 6 library buildings</w:t>
      </w:r>
    </w:p>
    <w:p w:rsidR="00451439" w:rsidRDefault="00451439" w:rsidP="00C64B16">
      <w:pPr>
        <w:numPr>
          <w:ilvl w:val="0"/>
          <w:numId w:val="26"/>
        </w:numPr>
        <w:spacing w:before="60"/>
        <w:ind w:left="714" w:hanging="357"/>
      </w:pPr>
      <w:r>
        <w:t>More partnership working at a local level</w:t>
      </w:r>
    </w:p>
    <w:p w:rsidR="00451439" w:rsidRDefault="008654F6" w:rsidP="00C64B16">
      <w:pPr>
        <w:numPr>
          <w:ilvl w:val="0"/>
          <w:numId w:val="26"/>
        </w:numPr>
        <w:spacing w:before="60"/>
        <w:ind w:left="714" w:hanging="357"/>
      </w:pPr>
      <w:r>
        <w:t>Great</w:t>
      </w:r>
      <w:r w:rsidR="00F90E89">
        <w:t>er</w:t>
      </w:r>
      <w:r>
        <w:t xml:space="preserve"> demand for NVQ's</w:t>
      </w:r>
      <w:r w:rsidR="00451439">
        <w:t xml:space="preserve"> from staff this year</w:t>
      </w:r>
    </w:p>
    <w:p w:rsidR="00585102" w:rsidRDefault="00585102">
      <w:pPr>
        <w:ind w:left="360"/>
      </w:pPr>
    </w:p>
    <w:p w:rsidR="00FB54DF" w:rsidRDefault="00FB54DF">
      <w:pPr>
        <w:pStyle w:val="Header"/>
        <w:tabs>
          <w:tab w:val="clear" w:pos="4153"/>
          <w:tab w:val="clear" w:pos="8306"/>
        </w:tabs>
      </w:pPr>
    </w:p>
    <w:p w:rsidR="00585102" w:rsidRDefault="00585102">
      <w:pPr>
        <w:pStyle w:val="Header"/>
        <w:tabs>
          <w:tab w:val="clear" w:pos="4153"/>
          <w:tab w:val="clear" w:pos="8306"/>
        </w:tabs>
      </w:pPr>
    </w:p>
    <w:p w:rsidR="00FB7F80" w:rsidRPr="00FB7F80" w:rsidRDefault="00FB7F80" w:rsidP="00FB7F80">
      <w:pPr>
        <w:ind w:left="360"/>
      </w:pPr>
    </w:p>
    <w:p w:rsidR="008E7985" w:rsidRDefault="008E7985" w:rsidP="008E7985"/>
    <w:p w:rsidR="00B6105D" w:rsidRDefault="00B6105D" w:rsidP="008E7985"/>
    <w:p w:rsidR="00B818C1" w:rsidRPr="008E7985" w:rsidRDefault="00B818C1" w:rsidP="008E7985"/>
    <w:p w:rsidR="007A27D7" w:rsidRDefault="007A27D7"/>
    <w:p w:rsidR="004C677C" w:rsidRDefault="004C677C"/>
    <w:p w:rsidR="004C677C" w:rsidRPr="00EA69A0" w:rsidRDefault="004C677C"/>
    <w:p w:rsidR="007A27D7" w:rsidRDefault="007A27D7">
      <w:pPr>
        <w:rPr>
          <w:color w:val="FF00FF"/>
        </w:rPr>
      </w:pPr>
    </w:p>
    <w:p w:rsidR="00585102" w:rsidRDefault="008B66BC">
      <w:pPr>
        <w:rPr>
          <w:color w:val="FF00FF"/>
        </w:rPr>
      </w:pPr>
      <w:hyperlink w:anchor="Contents" w:history="1">
        <w:r w:rsidR="00585102">
          <w:rPr>
            <w:rStyle w:val="Hyperlink"/>
          </w:rPr>
          <w:t>Back to Contents</w:t>
        </w:r>
      </w:hyperlink>
    </w:p>
    <w:p w:rsidR="00B75247" w:rsidRDefault="00B75247"/>
    <w:p w:rsidR="00B75247" w:rsidRDefault="00B75247"/>
    <w:p w:rsidR="001E43C8" w:rsidRDefault="00585102" w:rsidP="001E43C8">
      <w:pPr>
        <w:pStyle w:val="BPHeaders"/>
      </w:pPr>
      <w:r>
        <w:br w:type="page"/>
      </w:r>
      <w:bookmarkStart w:id="40" w:name="_Toc283280757"/>
      <w:r w:rsidR="001E43C8">
        <w:lastRenderedPageBreak/>
        <w:t xml:space="preserve">How we </w:t>
      </w:r>
      <w:r w:rsidR="005B20A9">
        <w:t xml:space="preserve">will </w:t>
      </w:r>
      <w:r w:rsidR="001E43C8">
        <w:t>contribute to the Directorate</w:t>
      </w:r>
      <w:r w:rsidR="005B20A9">
        <w:t xml:space="preserve"> and Corporate</w:t>
      </w:r>
      <w:r w:rsidR="001E43C8">
        <w:t xml:space="preserve"> Vision</w:t>
      </w:r>
      <w:r w:rsidR="005B20A9">
        <w:t xml:space="preserve"> in 2011/12</w:t>
      </w:r>
      <w:bookmarkEnd w:id="40"/>
    </w:p>
    <w:p w:rsidR="005B20A9" w:rsidRDefault="008B66BC" w:rsidP="005B20A9">
      <w:r>
        <w:rPr>
          <w:noProof/>
          <w:lang w:eastAsia="en-GB" w:bidi="hi-IN"/>
        </w:rPr>
        <w:pict>
          <v:rect id="_x0000_s1032" style="position:absolute;margin-left:-6pt;margin-top:-50.6pt;width:756pt;height:54pt;z-index:-251655680;mso-wrap-edited:f" filled="f" fillcolor="#fff200" strokeweight="1pt">
            <v:fill color2="#4d0808"/>
          </v:rect>
        </w:pict>
      </w:r>
    </w:p>
    <w:p w:rsidR="00585102" w:rsidRDefault="00585102" w:rsidP="005B20A9">
      <w:pPr>
        <w:rPr>
          <w:rStyle w:val="PageNumber"/>
        </w:rPr>
      </w:pPr>
      <w:r>
        <w:t xml:space="preserve">Major projects and work commitments for </w:t>
      </w:r>
      <w:r w:rsidR="001E43C8">
        <w:t>2011</w:t>
      </w:r>
      <w:r w:rsidR="004D23AB">
        <w:t xml:space="preserve"> – 1</w:t>
      </w:r>
      <w:r w:rsidR="001E43C8">
        <w:t xml:space="preserve">2 </w:t>
      </w:r>
      <w:r w:rsidR="00F14310">
        <w:t xml:space="preserve">that contribute to the Directorate </w:t>
      </w:r>
      <w:r w:rsidR="001E43C8">
        <w:t xml:space="preserve">and Corporate </w:t>
      </w:r>
      <w:r w:rsidR="00F14310">
        <w:t>Vision</w:t>
      </w:r>
    </w:p>
    <w:tbl>
      <w:tblPr>
        <w:tblW w:w="5109" w:type="pct"/>
        <w:tblInd w:w="51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1738"/>
        <w:gridCol w:w="2975"/>
        <w:gridCol w:w="1551"/>
        <w:gridCol w:w="3875"/>
        <w:gridCol w:w="1680"/>
        <w:gridCol w:w="1918"/>
        <w:gridCol w:w="1319"/>
      </w:tblGrid>
      <w:tr w:rsidR="000E7194" w:rsidTr="001E43C8">
        <w:trPr>
          <w:tblHeader/>
        </w:trPr>
        <w:tc>
          <w:tcPr>
            <w:tcW w:w="577" w:type="pct"/>
            <w:shd w:val="clear" w:color="auto" w:fill="99CCFF"/>
          </w:tcPr>
          <w:p w:rsidR="000E7194" w:rsidRPr="00F14310" w:rsidRDefault="00F14310" w:rsidP="00921C98">
            <w:pPr>
              <w:jc w:val="center"/>
              <w:rPr>
                <w:b/>
                <w:bCs/>
              </w:rPr>
            </w:pPr>
            <w:r w:rsidRPr="00F14310">
              <w:rPr>
                <w:b/>
                <w:bCs/>
              </w:rPr>
              <w:t>Communities/</w:t>
            </w:r>
            <w:r>
              <w:rPr>
                <w:b/>
                <w:bCs/>
              </w:rPr>
              <w:t xml:space="preserve"> </w:t>
            </w:r>
            <w:r w:rsidRPr="00F14310">
              <w:rPr>
                <w:b/>
                <w:bCs/>
              </w:rPr>
              <w:t>Citizens/ Customers/ Colleagues</w:t>
            </w:r>
          </w:p>
        </w:tc>
        <w:tc>
          <w:tcPr>
            <w:tcW w:w="988" w:type="pct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194" w:rsidRDefault="000E7194" w:rsidP="00921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515" w:type="pct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194" w:rsidRDefault="000E7194" w:rsidP="00921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 Officer</w:t>
            </w:r>
          </w:p>
        </w:tc>
        <w:tc>
          <w:tcPr>
            <w:tcW w:w="1287" w:type="pct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194" w:rsidRDefault="000E7194" w:rsidP="00921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Outcome</w:t>
            </w:r>
            <w:r w:rsidR="001E43C8">
              <w:rPr>
                <w:b/>
                <w:bCs/>
              </w:rPr>
              <w:t xml:space="preserve"> (Performance Measure)</w:t>
            </w:r>
          </w:p>
        </w:tc>
        <w:tc>
          <w:tcPr>
            <w:tcW w:w="558" w:type="pct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194" w:rsidRDefault="001E43C8" w:rsidP="00921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637" w:type="pct"/>
            <w:shd w:val="clear" w:color="auto" w:fill="99CCFF"/>
          </w:tcPr>
          <w:p w:rsidR="000E7194" w:rsidRDefault="000E7194" w:rsidP="00921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Monitoring &amp; Review</w:t>
            </w:r>
          </w:p>
        </w:tc>
        <w:tc>
          <w:tcPr>
            <w:tcW w:w="438" w:type="pct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194" w:rsidRDefault="001E43C8" w:rsidP="00921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Service required</w:t>
            </w:r>
          </w:p>
        </w:tc>
      </w:tr>
      <w:tr w:rsidR="001E43C8" w:rsidTr="00464E75">
        <w:tc>
          <w:tcPr>
            <w:tcW w:w="577" w:type="pct"/>
          </w:tcPr>
          <w:p w:rsidR="001E43C8" w:rsidRDefault="00674A0C" w:rsidP="006C543E">
            <w:r>
              <w:t>Colleagues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C88" w:rsidRDefault="008C7C88" w:rsidP="006C543E">
            <w:r>
              <w:t>Contribute to the Corporate Talent Management Strategy by</w:t>
            </w:r>
          </w:p>
          <w:p w:rsidR="008C7C88" w:rsidRDefault="008C7C88" w:rsidP="006C543E"/>
          <w:p w:rsidR="005A17A5" w:rsidRPr="00674A0C" w:rsidRDefault="005A17A5" w:rsidP="00674A0C">
            <w:pPr>
              <w:pStyle w:val="ListParagraph"/>
              <w:numPr>
                <w:ilvl w:val="0"/>
                <w:numId w:val="48"/>
              </w:numPr>
            </w:pPr>
            <w:r w:rsidRPr="00674A0C">
              <w:t>Undertak</w:t>
            </w:r>
            <w:r w:rsidR="008C7C88" w:rsidRPr="00674A0C">
              <w:t>ing</w:t>
            </w:r>
            <w:r w:rsidRPr="00674A0C">
              <w:t xml:space="preserve"> a skills audit </w:t>
            </w:r>
            <w:r w:rsidR="00A3189E" w:rsidRPr="00674A0C">
              <w:t>for workforce planning</w:t>
            </w:r>
          </w:p>
          <w:p w:rsidR="00A3189E" w:rsidRPr="00674A0C" w:rsidRDefault="00A3189E" w:rsidP="00674A0C">
            <w:pPr>
              <w:pStyle w:val="ListParagraph"/>
              <w:numPr>
                <w:ilvl w:val="0"/>
                <w:numId w:val="48"/>
              </w:numPr>
            </w:pPr>
            <w:r w:rsidRPr="00674A0C">
              <w:t>Undertaking a skills audit arising from Phase 2</w:t>
            </w:r>
          </w:p>
          <w:p w:rsidR="001E43C8" w:rsidRDefault="004A0476" w:rsidP="00674A0C">
            <w:pPr>
              <w:pStyle w:val="ListParagraph"/>
              <w:numPr>
                <w:ilvl w:val="0"/>
                <w:numId w:val="48"/>
              </w:numPr>
            </w:pPr>
            <w:r w:rsidRPr="00674A0C">
              <w:t>Staff development</w:t>
            </w:r>
            <w:r w:rsidR="005A17A5" w:rsidRPr="00674A0C">
              <w:t xml:space="preserve">s – sharing knowledge and skills 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22B" w:rsidRDefault="00891D68" w:rsidP="00921C98">
            <w:r>
              <w:t>Dave Blackett</w:t>
            </w:r>
          </w:p>
          <w:p w:rsidR="00891D68" w:rsidRDefault="00891D68" w:rsidP="00921C98">
            <w:r>
              <w:t>(Alison Thies)</w:t>
            </w:r>
          </w:p>
          <w:p w:rsidR="00C4222B" w:rsidRDefault="00C4222B" w:rsidP="00921C98"/>
          <w:p w:rsidR="001E43C8" w:rsidRDefault="001E43C8" w:rsidP="00921C98"/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4A0476" w:rsidP="004A0476">
            <w:pPr>
              <w:numPr>
                <w:ilvl w:val="0"/>
                <w:numId w:val="34"/>
              </w:numPr>
            </w:pPr>
            <w:r>
              <w:t>To be aware of any skills gaps</w:t>
            </w:r>
          </w:p>
          <w:p w:rsidR="004A0476" w:rsidRDefault="004A0476" w:rsidP="004A0476">
            <w:pPr>
              <w:numPr>
                <w:ilvl w:val="0"/>
                <w:numId w:val="34"/>
              </w:numPr>
            </w:pPr>
            <w:r>
              <w:t xml:space="preserve">Contribute to the </w:t>
            </w:r>
            <w:r w:rsidR="008C7C88">
              <w:t>Corporate Talent Management Strategy</w:t>
            </w:r>
          </w:p>
          <w:p w:rsidR="005A17A5" w:rsidRDefault="005A17A5" w:rsidP="004A0476">
            <w:pPr>
              <w:numPr>
                <w:ilvl w:val="0"/>
                <w:numId w:val="34"/>
              </w:numPr>
            </w:pPr>
            <w:r>
              <w:t>Business continuity</w:t>
            </w:r>
          </w:p>
          <w:p w:rsidR="00C4222B" w:rsidRDefault="00C4222B" w:rsidP="004A0476">
            <w:pPr>
              <w:numPr>
                <w:ilvl w:val="0"/>
                <w:numId w:val="34"/>
              </w:numPr>
            </w:pPr>
            <w:r>
              <w:t>A workforce fit for purpose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465925" w:rsidP="00921C98">
            <w:r>
              <w:t>March 2012</w:t>
            </w:r>
          </w:p>
        </w:tc>
        <w:tc>
          <w:tcPr>
            <w:tcW w:w="637" w:type="pct"/>
            <w:vAlign w:val="center"/>
          </w:tcPr>
          <w:p w:rsidR="00C4222B" w:rsidRDefault="00C4222B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C4222B" w:rsidP="00921C98">
            <w:r>
              <w:t>HR</w:t>
            </w:r>
          </w:p>
        </w:tc>
      </w:tr>
      <w:tr w:rsidR="00A95DC4" w:rsidTr="00464E75">
        <w:tc>
          <w:tcPr>
            <w:tcW w:w="577" w:type="pct"/>
          </w:tcPr>
          <w:p w:rsidR="00A95DC4" w:rsidRDefault="00A95DC4" w:rsidP="006C543E">
            <w:r>
              <w:t>Customers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DC4" w:rsidRDefault="00A95DC4" w:rsidP="006C543E">
            <w:r>
              <w:t>Achieve Customer Service Excellence Standard across all services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DC4" w:rsidRDefault="00891D68" w:rsidP="00921C98">
            <w:r>
              <w:t>Dave Blackett  (Alison Thies)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5DC4" w:rsidRDefault="00A95DC4" w:rsidP="00A95DC4">
            <w:pPr>
              <w:autoSpaceDE w:val="0"/>
              <w:autoSpaceDN w:val="0"/>
              <w:adjustRightInd w:val="0"/>
            </w:pPr>
            <w:r w:rsidRPr="00A95DC4">
              <w:t>Public services for all that are efficient, effective, excellent, equitable and empowering – with the citizen always and everywhere at the heart of public service provision.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5DC4" w:rsidRDefault="00A95DC4" w:rsidP="00921C98">
            <w:r>
              <w:t>March 2012</w:t>
            </w:r>
          </w:p>
        </w:tc>
        <w:tc>
          <w:tcPr>
            <w:tcW w:w="637" w:type="pct"/>
            <w:vAlign w:val="center"/>
          </w:tcPr>
          <w:p w:rsidR="00A95DC4" w:rsidRPr="00A95DC4" w:rsidRDefault="00A95DC4" w:rsidP="00A95DC4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5DC4" w:rsidRDefault="00A95DC4" w:rsidP="00921C98"/>
        </w:tc>
      </w:tr>
      <w:tr w:rsidR="001E43C8" w:rsidTr="00464E75">
        <w:tc>
          <w:tcPr>
            <w:tcW w:w="577" w:type="pct"/>
          </w:tcPr>
          <w:p w:rsidR="00674A0C" w:rsidRDefault="00674A0C" w:rsidP="006C543E"/>
          <w:p w:rsidR="001E43C8" w:rsidRPr="00674A0C" w:rsidRDefault="00674A0C" w:rsidP="00674A0C">
            <w:r>
              <w:t>Colleagues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AB8" w:rsidRPr="00170677" w:rsidRDefault="00A3189E" w:rsidP="00674A0C">
            <w:r>
              <w:t>Review and revise information structures and governance within Cultural Services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4B16" w:rsidRDefault="00891D68" w:rsidP="00921C98">
            <w:r>
              <w:t>Bruce Jackson (Carolyn Waite/</w:t>
            </w:r>
          </w:p>
          <w:p w:rsidR="001E43C8" w:rsidRDefault="00891D68" w:rsidP="00921C98">
            <w:r>
              <w:lastRenderedPageBreak/>
              <w:t>Kathrine Baxendale)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1E6A25" w:rsidP="00921C98">
            <w:r>
              <w:lastRenderedPageBreak/>
              <w:t>Have an updated plan and make staff aware of it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1E6A25" w:rsidP="00921C98">
            <w:r>
              <w:t>March 2012</w:t>
            </w:r>
          </w:p>
        </w:tc>
        <w:tc>
          <w:tcPr>
            <w:tcW w:w="637" w:type="pct"/>
            <w:vAlign w:val="center"/>
          </w:tcPr>
          <w:p w:rsidR="001E43C8" w:rsidRDefault="00F90E89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1E43C8" w:rsidP="00921C98"/>
        </w:tc>
      </w:tr>
      <w:tr w:rsidR="001E43C8" w:rsidTr="006C543E">
        <w:tc>
          <w:tcPr>
            <w:tcW w:w="577" w:type="pct"/>
          </w:tcPr>
          <w:p w:rsidR="001E43C8" w:rsidRDefault="00674A0C" w:rsidP="006C543E">
            <w:r>
              <w:lastRenderedPageBreak/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2B6F12" w:rsidP="006C543E">
            <w:r>
              <w:t xml:space="preserve">To produce a marketing and </w:t>
            </w:r>
            <w:r w:rsidR="006A19B7">
              <w:t>communications</w:t>
            </w:r>
            <w:r>
              <w:t xml:space="preserve"> strategy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891D68" w:rsidP="00921C98">
            <w:r>
              <w:t>Ian Watson (Communications Services)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2B6F12" w:rsidP="002B6F12">
            <w:pPr>
              <w:numPr>
                <w:ilvl w:val="0"/>
                <w:numId w:val="36"/>
              </w:numPr>
            </w:pPr>
            <w:r>
              <w:t>Improving geographical sharing of information</w:t>
            </w:r>
          </w:p>
          <w:p w:rsidR="002B6F12" w:rsidRDefault="002B6F12" w:rsidP="002B6F12">
            <w:pPr>
              <w:numPr>
                <w:ilvl w:val="0"/>
                <w:numId w:val="36"/>
              </w:numPr>
            </w:pPr>
            <w:r>
              <w:t>Improved marketing of cultural services across the services (internally)</w:t>
            </w:r>
          </w:p>
          <w:p w:rsidR="002B6F12" w:rsidRDefault="00C90143" w:rsidP="002B6F12">
            <w:pPr>
              <w:numPr>
                <w:ilvl w:val="0"/>
                <w:numId w:val="36"/>
              </w:numPr>
            </w:pPr>
            <w:r>
              <w:t>Increased profile of cultural services (externally)</w:t>
            </w:r>
          </w:p>
          <w:p w:rsidR="00C90143" w:rsidRDefault="00C90143" w:rsidP="002B6F12">
            <w:pPr>
              <w:numPr>
                <w:ilvl w:val="0"/>
                <w:numId w:val="36"/>
              </w:numPr>
            </w:pPr>
            <w:r>
              <w:t>Better use of websites and cross links</w:t>
            </w:r>
          </w:p>
          <w:p w:rsidR="00C90143" w:rsidRDefault="00C90143" w:rsidP="002B6F12">
            <w:pPr>
              <w:numPr>
                <w:ilvl w:val="0"/>
                <w:numId w:val="36"/>
              </w:numPr>
            </w:pPr>
            <w:r>
              <w:t>Improved engagement with staff and customers</w:t>
            </w:r>
          </w:p>
          <w:p w:rsidR="00C90143" w:rsidRDefault="00C90143" w:rsidP="002B6F12">
            <w:pPr>
              <w:numPr>
                <w:ilvl w:val="0"/>
                <w:numId w:val="36"/>
              </w:numPr>
            </w:pPr>
            <w:r>
              <w:t>Better audience experience</w:t>
            </w:r>
          </w:p>
          <w:p w:rsidR="00C90143" w:rsidRDefault="00C90143" w:rsidP="00CC6985">
            <w:pPr>
              <w:ind w:left="720"/>
            </w:pP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3F6E2F" w:rsidP="00921C98">
            <w:r>
              <w:t>Start by end of March then set further targets</w:t>
            </w:r>
          </w:p>
        </w:tc>
        <w:tc>
          <w:tcPr>
            <w:tcW w:w="637" w:type="pct"/>
          </w:tcPr>
          <w:p w:rsidR="002D7B95" w:rsidRDefault="002D7B95" w:rsidP="00921C98"/>
          <w:p w:rsidR="002D7B95" w:rsidRDefault="002D7B95" w:rsidP="00921C98"/>
          <w:p w:rsidR="001E43C8" w:rsidRDefault="00C4222B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C4222B" w:rsidP="00921C98">
            <w:r>
              <w:t>Communications Services</w:t>
            </w:r>
          </w:p>
        </w:tc>
      </w:tr>
      <w:tr w:rsidR="001E43C8" w:rsidTr="006C543E">
        <w:tc>
          <w:tcPr>
            <w:tcW w:w="577" w:type="pct"/>
          </w:tcPr>
          <w:p w:rsidR="001E43C8" w:rsidRDefault="00674A0C" w:rsidP="006C543E">
            <w:r>
              <w:t>Colleagues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E5073F" w:rsidP="006A19B7">
            <w:r>
              <w:t xml:space="preserve">Develop a </w:t>
            </w:r>
            <w:r w:rsidR="006A19B7">
              <w:t xml:space="preserve">series </w:t>
            </w:r>
            <w:r>
              <w:t>of cultural services conferences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891D68" w:rsidP="00B24162">
            <w:r>
              <w:t>Dave Blackett  (Ann Marsh)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E5073F" w:rsidP="00921C98">
            <w:r>
              <w:t>A better informed workforce</w:t>
            </w:r>
            <w:r w:rsidR="008C7C88">
              <w:t xml:space="preserve"> and a more cohesive cultural services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C4222B" w:rsidP="00921C98">
            <w:r>
              <w:t>Autumn 2011</w:t>
            </w:r>
          </w:p>
        </w:tc>
        <w:tc>
          <w:tcPr>
            <w:tcW w:w="637" w:type="pct"/>
          </w:tcPr>
          <w:p w:rsidR="001E43C8" w:rsidRDefault="001E43C8" w:rsidP="00921C98"/>
          <w:p w:rsidR="00674A0C" w:rsidRDefault="00674A0C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1E43C8" w:rsidP="00921C98"/>
        </w:tc>
      </w:tr>
      <w:tr w:rsidR="001E43C8" w:rsidTr="00464E75">
        <w:tc>
          <w:tcPr>
            <w:tcW w:w="577" w:type="pct"/>
          </w:tcPr>
          <w:p w:rsidR="001E43C8" w:rsidRDefault="00674A0C" w:rsidP="006C543E">
            <w:r>
              <w:t>Colleagues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E5073F" w:rsidP="006C543E">
            <w:r>
              <w:t>Carry out the cultural services restructure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891D68" w:rsidP="00921C98">
            <w:r>
              <w:t>Ian Watson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E5073F" w:rsidP="00921C98">
            <w:r>
              <w:t>A cultural services service is established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E5073F" w:rsidP="00921C98">
            <w:r>
              <w:t>Phase 1 2010/2011</w:t>
            </w:r>
          </w:p>
          <w:p w:rsidR="00E5073F" w:rsidRDefault="00E5073F" w:rsidP="00921C98">
            <w:r>
              <w:t>Phase 2 2011/2012</w:t>
            </w:r>
          </w:p>
          <w:p w:rsidR="00C64B16" w:rsidRDefault="00C64B16" w:rsidP="00921C98"/>
        </w:tc>
        <w:tc>
          <w:tcPr>
            <w:tcW w:w="637" w:type="pct"/>
            <w:vAlign w:val="center"/>
          </w:tcPr>
          <w:p w:rsidR="001E43C8" w:rsidRPr="00137760" w:rsidRDefault="00137760" w:rsidP="00137760">
            <w:r>
              <w:t>Monthly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C4222B" w:rsidP="00921C98">
            <w:r>
              <w:t>HR</w:t>
            </w:r>
          </w:p>
        </w:tc>
      </w:tr>
      <w:tr w:rsidR="001E43C8" w:rsidTr="00464E75">
        <w:tc>
          <w:tcPr>
            <w:tcW w:w="577" w:type="pct"/>
          </w:tcPr>
          <w:p w:rsidR="001E43C8" w:rsidRPr="00137760" w:rsidRDefault="00137760" w:rsidP="00137760">
            <w:pPr>
              <w:jc w:val="center"/>
            </w:pPr>
            <w:r>
              <w:t>Colleagues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92516D" w:rsidP="00921C98">
            <w:r>
              <w:t>Implement strategic planning time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891D68" w:rsidP="00921C98">
            <w:r>
              <w:t>Dave Blackett  (Ann Marsh)</w:t>
            </w:r>
          </w:p>
          <w:p w:rsidR="00C4222B" w:rsidRDefault="00C4222B" w:rsidP="00921C98"/>
          <w:p w:rsidR="00C4222B" w:rsidRDefault="00C4222B" w:rsidP="00921C98"/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92516D" w:rsidP="0092516D">
            <w:pPr>
              <w:numPr>
                <w:ilvl w:val="0"/>
                <w:numId w:val="37"/>
              </w:numPr>
            </w:pPr>
            <w:r>
              <w:t>Actions are delivered</w:t>
            </w:r>
          </w:p>
          <w:p w:rsidR="0092516D" w:rsidRDefault="00B35F6E" w:rsidP="0092516D">
            <w:pPr>
              <w:numPr>
                <w:ilvl w:val="0"/>
                <w:numId w:val="37"/>
              </w:numPr>
            </w:pPr>
            <w:r>
              <w:t>Business Plan is reviewed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43C8" w:rsidRDefault="00F90E89" w:rsidP="00921C98">
            <w:r>
              <w:t>March 2012</w:t>
            </w:r>
          </w:p>
        </w:tc>
        <w:tc>
          <w:tcPr>
            <w:tcW w:w="637" w:type="pct"/>
          </w:tcPr>
          <w:p w:rsidR="001E43C8" w:rsidRDefault="00F90E89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1E43C8" w:rsidP="00921C98"/>
        </w:tc>
      </w:tr>
      <w:tr w:rsidR="000577DB" w:rsidTr="00464E75">
        <w:tc>
          <w:tcPr>
            <w:tcW w:w="577" w:type="pct"/>
          </w:tcPr>
          <w:p w:rsidR="000577DB" w:rsidRDefault="00137760" w:rsidP="006C543E">
            <w:r>
              <w:lastRenderedPageBreak/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92516D" w:rsidP="00921C98">
            <w:r>
              <w:t xml:space="preserve">Develop a corporate action plan from the culture </w:t>
            </w:r>
            <w:r w:rsidR="006A19B7">
              <w:t xml:space="preserve">and sport </w:t>
            </w:r>
            <w:r>
              <w:t>strategy</w:t>
            </w:r>
          </w:p>
          <w:p w:rsidR="000E454E" w:rsidRDefault="000E454E" w:rsidP="00921C98"/>
          <w:p w:rsidR="000E454E" w:rsidRDefault="000E454E" w:rsidP="00921C98">
            <w:r>
              <w:t>Develop Outcomes framework based on the priorities in the CS Strategy as an advocacy tool for staff, public, politicians and officers</w:t>
            </w:r>
          </w:p>
          <w:p w:rsidR="00C64B16" w:rsidRDefault="00C64B16" w:rsidP="00921C98"/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891D68" w:rsidP="00921C98">
            <w:r>
              <w:t>Ian Watson  (Ann Marsh)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92516D" w:rsidP="00921C98">
            <w:r>
              <w:t>To take a lead in developing the action plan for the organisation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727C0E" w:rsidP="00921C98">
            <w:r>
              <w:t>March 2012</w:t>
            </w:r>
          </w:p>
        </w:tc>
        <w:tc>
          <w:tcPr>
            <w:tcW w:w="637" w:type="pct"/>
            <w:vAlign w:val="center"/>
          </w:tcPr>
          <w:p w:rsidR="00464E75" w:rsidRDefault="00464E75" w:rsidP="00921C98"/>
          <w:p w:rsidR="00675BD7" w:rsidRDefault="00727C0E" w:rsidP="00921C98">
            <w:r>
              <w:t>Quarterly</w:t>
            </w:r>
          </w:p>
          <w:p w:rsidR="000577DB" w:rsidRDefault="000577DB" w:rsidP="00921C98"/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0577DB" w:rsidP="00921C98"/>
        </w:tc>
      </w:tr>
      <w:tr w:rsidR="000577DB" w:rsidTr="00464E75">
        <w:tc>
          <w:tcPr>
            <w:tcW w:w="577" w:type="pct"/>
          </w:tcPr>
          <w:p w:rsidR="000577DB" w:rsidRDefault="00137760" w:rsidP="006C543E">
            <w:r>
              <w:t>Communities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92516D" w:rsidP="00921C98">
            <w:r>
              <w:t>Improve LCC member engagement, monitor this engagement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891D68" w:rsidP="00921C98">
            <w:r>
              <w:t>Ian Watson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CD239A" w:rsidP="00921C98">
            <w:r>
              <w:t>Raised awareness of cultural services amongst members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675BD7" w:rsidP="00C4222B">
            <w:r>
              <w:t xml:space="preserve">March </w:t>
            </w:r>
            <w:r w:rsidR="00C4222B">
              <w:t>2012</w:t>
            </w:r>
          </w:p>
        </w:tc>
        <w:tc>
          <w:tcPr>
            <w:tcW w:w="637" w:type="pct"/>
            <w:vAlign w:val="center"/>
          </w:tcPr>
          <w:p w:rsidR="000577DB" w:rsidRDefault="00727C0E" w:rsidP="00C4222B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C4222B" w:rsidP="00921C98">
            <w:r>
              <w:t>Democratic Services (?)</w:t>
            </w:r>
          </w:p>
          <w:p w:rsidR="00C64B16" w:rsidRDefault="00C64B16" w:rsidP="00921C98"/>
        </w:tc>
      </w:tr>
      <w:tr w:rsidR="000577DB" w:rsidTr="00464E75">
        <w:tc>
          <w:tcPr>
            <w:tcW w:w="577" w:type="pct"/>
          </w:tcPr>
          <w:p w:rsidR="000577DB" w:rsidRDefault="00137760" w:rsidP="006C543E">
            <w:r>
              <w:t>Communities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8A6C62" w:rsidP="009C3368">
            <w:r>
              <w:t>Develop synergies across the service concerning capital projects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891D68" w:rsidP="00921C98">
            <w:r>
              <w:t>Dave Blackett  (Louisa Alston)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8A6C62" w:rsidP="008A6C62">
            <w:pPr>
              <w:numPr>
                <w:ilvl w:val="0"/>
                <w:numId w:val="38"/>
              </w:numPr>
            </w:pPr>
            <w:r>
              <w:t>Gain best value for projects</w:t>
            </w:r>
          </w:p>
          <w:p w:rsidR="008A6C62" w:rsidRDefault="008A6C62" w:rsidP="008A6C62">
            <w:pPr>
              <w:numPr>
                <w:ilvl w:val="0"/>
                <w:numId w:val="38"/>
              </w:numPr>
            </w:pPr>
            <w:r>
              <w:t>Deliver an enhanced experience to customers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675BD7" w:rsidP="006F1AA1">
            <w:r>
              <w:t>March 201</w:t>
            </w:r>
            <w:r w:rsidR="006F1AA1">
              <w:t>2</w:t>
            </w:r>
          </w:p>
        </w:tc>
        <w:tc>
          <w:tcPr>
            <w:tcW w:w="637" w:type="pct"/>
            <w:vAlign w:val="center"/>
          </w:tcPr>
          <w:p w:rsidR="000577DB" w:rsidRDefault="00727C0E" w:rsidP="00C4222B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77DB" w:rsidRDefault="00C4222B" w:rsidP="00921C98">
            <w:r>
              <w:t>Property Group</w:t>
            </w:r>
          </w:p>
        </w:tc>
      </w:tr>
      <w:tr w:rsidR="00AE1ECA" w:rsidTr="00D14400">
        <w:tc>
          <w:tcPr>
            <w:tcW w:w="577" w:type="pct"/>
          </w:tcPr>
          <w:p w:rsidR="00891D68" w:rsidRDefault="00137760" w:rsidP="006C543E">
            <w:r>
              <w:t>Customers</w:t>
            </w:r>
          </w:p>
          <w:p w:rsidR="00891D68" w:rsidRPr="00891D68" w:rsidRDefault="00891D68" w:rsidP="00891D68"/>
          <w:p w:rsidR="00891D68" w:rsidRPr="00891D68" w:rsidRDefault="00891D68" w:rsidP="00891D68"/>
          <w:p w:rsidR="00891D68" w:rsidRPr="00891D68" w:rsidRDefault="00891D68" w:rsidP="00891D68"/>
          <w:p w:rsidR="00891D68" w:rsidRPr="00891D68" w:rsidRDefault="00891D68" w:rsidP="00891D68"/>
          <w:p w:rsidR="00891D68" w:rsidRPr="00891D68" w:rsidRDefault="00891D68" w:rsidP="00891D68"/>
          <w:p w:rsidR="00891D68" w:rsidRDefault="00891D68" w:rsidP="00891D68"/>
          <w:p w:rsidR="00891D68" w:rsidRDefault="00891D68" w:rsidP="00891D68"/>
          <w:p w:rsidR="00AE1ECA" w:rsidRPr="00891D68" w:rsidRDefault="00AE1ECA" w:rsidP="00891D68">
            <w:pPr>
              <w:jc w:val="center"/>
            </w:pP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A3189E" w:rsidP="00921C98">
            <w:r>
              <w:t>Develop a cohesive approach to all IT related developments, including:</w:t>
            </w:r>
          </w:p>
          <w:p w:rsidR="00A3189E" w:rsidRDefault="00A3189E" w:rsidP="00891D68">
            <w:pPr>
              <w:pStyle w:val="ListParagraph"/>
              <w:numPr>
                <w:ilvl w:val="0"/>
                <w:numId w:val="49"/>
              </w:numPr>
            </w:pPr>
            <w:r>
              <w:t>Social networking</w:t>
            </w:r>
          </w:p>
          <w:p w:rsidR="00A3189E" w:rsidRDefault="00A3189E" w:rsidP="00891D68">
            <w:pPr>
              <w:pStyle w:val="ListParagraph"/>
              <w:numPr>
                <w:ilvl w:val="0"/>
                <w:numId w:val="49"/>
              </w:numPr>
            </w:pPr>
            <w:r>
              <w:t>Digital inclusion</w:t>
            </w:r>
          </w:p>
          <w:p w:rsidR="00A3189E" w:rsidRDefault="00A3189E" w:rsidP="00891D68">
            <w:pPr>
              <w:pStyle w:val="ListParagraph"/>
              <w:numPr>
                <w:ilvl w:val="0"/>
                <w:numId w:val="49"/>
              </w:numPr>
            </w:pPr>
            <w:r>
              <w:t>Web content</w:t>
            </w:r>
          </w:p>
          <w:p w:rsidR="00A3189E" w:rsidRDefault="00A3189E" w:rsidP="00891D68">
            <w:pPr>
              <w:pStyle w:val="ListParagraph"/>
              <w:numPr>
                <w:ilvl w:val="0"/>
                <w:numId w:val="49"/>
              </w:numPr>
            </w:pPr>
            <w:r>
              <w:t>Digital preservation</w:t>
            </w:r>
          </w:p>
          <w:p w:rsidR="00891D68" w:rsidRDefault="00891D68" w:rsidP="00891D68">
            <w:pPr>
              <w:pStyle w:val="ListParagraph"/>
              <w:numPr>
                <w:ilvl w:val="0"/>
                <w:numId w:val="49"/>
              </w:numPr>
            </w:pPr>
            <w:r>
              <w:t>E books</w:t>
            </w:r>
          </w:p>
          <w:p w:rsidR="00A3189E" w:rsidRDefault="00A3189E" w:rsidP="00921C98"/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891D68" w:rsidP="00921C98">
            <w:r>
              <w:t>Bruce Jackson  (Carolyn Waite)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4400" w:rsidRDefault="00D14400" w:rsidP="00921C98"/>
          <w:p w:rsidR="00AE1ECA" w:rsidRDefault="00345E08" w:rsidP="00921C98">
            <w:r>
              <w:t>Services continue to develop the self service offer</w:t>
            </w:r>
          </w:p>
          <w:p w:rsidR="00727C0E" w:rsidRDefault="00727C0E" w:rsidP="00921C98">
            <w:r>
              <w:t>Services at the forefront of IT developments and remain relevant in a rapidly changing climate</w:t>
            </w:r>
          </w:p>
          <w:p w:rsidR="00345E08" w:rsidRDefault="00345E08" w:rsidP="00921C98"/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727C0E" w:rsidP="00921C98">
            <w:r>
              <w:t>March 2012</w:t>
            </w:r>
          </w:p>
        </w:tc>
        <w:tc>
          <w:tcPr>
            <w:tcW w:w="637" w:type="pct"/>
            <w:vAlign w:val="center"/>
          </w:tcPr>
          <w:p w:rsidR="00AE1ECA" w:rsidRDefault="00727C0E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760" w:rsidRDefault="00137760" w:rsidP="00921C98"/>
          <w:p w:rsidR="00137760" w:rsidRDefault="00137760" w:rsidP="00921C98"/>
          <w:p w:rsidR="00345E08" w:rsidRDefault="00C4222B" w:rsidP="00921C98">
            <w:r>
              <w:t>Corporate IT Services</w:t>
            </w:r>
          </w:p>
          <w:p w:rsidR="00345E08" w:rsidRDefault="00345E08" w:rsidP="00345E08"/>
          <w:p w:rsidR="00345E08" w:rsidRDefault="00345E08" w:rsidP="00345E08"/>
          <w:p w:rsidR="00AE1ECA" w:rsidRDefault="00345E08" w:rsidP="00345E08">
            <w:r>
              <w:t>Communications Services</w:t>
            </w:r>
          </w:p>
          <w:p w:rsidR="00C64B16" w:rsidRPr="00345E08" w:rsidRDefault="00C64B16" w:rsidP="00345E08"/>
        </w:tc>
      </w:tr>
      <w:tr w:rsidR="00891D68" w:rsidTr="00464E75">
        <w:tc>
          <w:tcPr>
            <w:tcW w:w="577" w:type="pct"/>
          </w:tcPr>
          <w:p w:rsidR="00891D68" w:rsidRDefault="00891D68" w:rsidP="006C543E">
            <w:r>
              <w:lastRenderedPageBreak/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1D68" w:rsidRDefault="00E36E6A" w:rsidP="00921C98">
            <w:r>
              <w:t>Develop relations with the Strategic partnership to ensure that cultural services have the ability to develop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75" w:rsidRDefault="00E36E6A" w:rsidP="00921C98">
            <w:r>
              <w:t>Ian Watson/</w:t>
            </w:r>
          </w:p>
          <w:p w:rsidR="00891D68" w:rsidRDefault="00E36E6A" w:rsidP="00921C98">
            <w:r>
              <w:t>CSLT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1D68" w:rsidRDefault="00E36E6A" w:rsidP="00E36E6A">
            <w:r>
              <w:t>Citizens benefit from cultural services developing  a quality offer in all elements of business covered by the strategic partnership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1D68" w:rsidRDefault="00E36E6A" w:rsidP="00921C98">
            <w:r>
              <w:t>March 2012</w:t>
            </w:r>
          </w:p>
        </w:tc>
        <w:tc>
          <w:tcPr>
            <w:tcW w:w="637" w:type="pct"/>
            <w:vAlign w:val="center"/>
          </w:tcPr>
          <w:p w:rsidR="00E36E6A" w:rsidRDefault="00E36E6A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1D68" w:rsidRDefault="00E36E6A" w:rsidP="00921C98">
            <w:r w:rsidRPr="00464E75">
              <w:t>Strategic Partnership</w:t>
            </w:r>
          </w:p>
        </w:tc>
      </w:tr>
      <w:tr w:rsidR="00AE1ECA" w:rsidTr="001E43C8">
        <w:tc>
          <w:tcPr>
            <w:tcW w:w="577" w:type="pct"/>
          </w:tcPr>
          <w:p w:rsidR="00AE1ECA" w:rsidRDefault="00137760" w:rsidP="006C543E">
            <w:r>
              <w:t>Colleagues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727C0E" w:rsidP="00921C98">
            <w:r>
              <w:t>Devise an internal communications structure with s</w:t>
            </w:r>
            <w:r w:rsidR="00F06C0A">
              <w:t>taff engagement</w:t>
            </w:r>
            <w:r>
              <w:t xml:space="preserve"> at </w:t>
            </w:r>
            <w:r w:rsidR="00137760">
              <w:t>its</w:t>
            </w:r>
            <w:r>
              <w:t xml:space="preserve"> centre through</w:t>
            </w:r>
          </w:p>
          <w:p w:rsidR="00F06C0A" w:rsidRDefault="00F06C0A" w:rsidP="00F06C0A">
            <w:pPr>
              <w:numPr>
                <w:ilvl w:val="0"/>
                <w:numId w:val="39"/>
              </w:numPr>
            </w:pPr>
            <w:r>
              <w:t>Quarterly leadership meeting</w:t>
            </w:r>
          </w:p>
          <w:p w:rsidR="00727C0E" w:rsidRDefault="00727C0E" w:rsidP="00F06C0A">
            <w:pPr>
              <w:numPr>
                <w:ilvl w:val="0"/>
                <w:numId w:val="39"/>
              </w:numPr>
            </w:pPr>
            <w:r>
              <w:t>Team meetings structure</w:t>
            </w:r>
          </w:p>
          <w:p w:rsidR="00F06C0A" w:rsidRDefault="00F06C0A" w:rsidP="00F06C0A">
            <w:pPr>
              <w:numPr>
                <w:ilvl w:val="0"/>
                <w:numId w:val="39"/>
              </w:numPr>
            </w:pPr>
            <w:r>
              <w:t>Staff conference</w:t>
            </w:r>
            <w:r w:rsidR="00042E3A">
              <w:t>s</w:t>
            </w:r>
          </w:p>
          <w:p w:rsidR="00F06C0A" w:rsidRDefault="00F06C0A" w:rsidP="00F06C0A">
            <w:pPr>
              <w:numPr>
                <w:ilvl w:val="0"/>
                <w:numId w:val="39"/>
              </w:numPr>
            </w:pPr>
            <w:r>
              <w:t>Customer service excellence</w:t>
            </w:r>
          </w:p>
          <w:p w:rsidR="00F06C0A" w:rsidRDefault="00F06C0A" w:rsidP="00F06C0A">
            <w:pPr>
              <w:numPr>
                <w:ilvl w:val="0"/>
                <w:numId w:val="39"/>
              </w:numPr>
            </w:pPr>
            <w:r>
              <w:t>Using Team Talk</w:t>
            </w:r>
          </w:p>
          <w:p w:rsidR="00727C0E" w:rsidRDefault="00727C0E" w:rsidP="00F06C0A">
            <w:pPr>
              <w:numPr>
                <w:ilvl w:val="0"/>
                <w:numId w:val="39"/>
              </w:numPr>
            </w:pPr>
            <w:r>
              <w:t>Continued "Big Conversations"</w:t>
            </w:r>
          </w:p>
          <w:p w:rsidR="00727C0E" w:rsidRDefault="00727C0E" w:rsidP="00F06C0A">
            <w:pPr>
              <w:numPr>
                <w:ilvl w:val="0"/>
                <w:numId w:val="39"/>
              </w:numPr>
            </w:pPr>
            <w:r>
              <w:t>Floor walking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891D68" w:rsidP="00921C98">
            <w:r>
              <w:t>Ian Watson  (Alison Thies)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727C0E" w:rsidP="00921C98">
            <w:r>
              <w:t>Workforce is fully informed and engaged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727C0E" w:rsidP="00921C98">
            <w:r>
              <w:t>March 2012</w:t>
            </w:r>
          </w:p>
        </w:tc>
        <w:tc>
          <w:tcPr>
            <w:tcW w:w="637" w:type="pct"/>
          </w:tcPr>
          <w:p w:rsidR="00AE1ECA" w:rsidRDefault="00AE1ECA" w:rsidP="00921C98"/>
          <w:p w:rsidR="00137760" w:rsidRDefault="00137760" w:rsidP="00921C98"/>
          <w:p w:rsidR="00137760" w:rsidRDefault="00137760" w:rsidP="00921C98"/>
          <w:p w:rsidR="00137760" w:rsidRDefault="00137760" w:rsidP="00921C98"/>
          <w:p w:rsidR="00137760" w:rsidRDefault="00137760" w:rsidP="00921C98"/>
          <w:p w:rsidR="00137760" w:rsidRDefault="00137760" w:rsidP="00921C98"/>
          <w:p w:rsidR="00137760" w:rsidRDefault="00137760" w:rsidP="00921C98"/>
          <w:p w:rsidR="00727C0E" w:rsidRDefault="00727C0E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727C0E" w:rsidP="00921C98">
            <w:r>
              <w:t>Communications Services</w:t>
            </w:r>
          </w:p>
        </w:tc>
      </w:tr>
      <w:tr w:rsidR="00AE1ECA" w:rsidTr="001E43C8">
        <w:tc>
          <w:tcPr>
            <w:tcW w:w="577" w:type="pct"/>
          </w:tcPr>
          <w:p w:rsidR="00AE1ECA" w:rsidRDefault="00137760" w:rsidP="006C543E">
            <w:r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450D97" w:rsidP="009C3368">
            <w:r>
              <w:t>Develop</w:t>
            </w:r>
            <w:r w:rsidR="009C3368">
              <w:t xml:space="preserve"> a </w:t>
            </w:r>
            <w:r>
              <w:t xml:space="preserve"> strategy for engagement with districts and </w:t>
            </w:r>
            <w:r w:rsidR="00B24162">
              <w:t>unitary authorities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891D68" w:rsidP="00921C98">
            <w:r>
              <w:t>Ian Watson  (Ann Marsh)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727C0E" w:rsidP="00921C98">
            <w:r>
              <w:t>More effective and efficient examples of partnership working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727C0E" w:rsidP="00921C98">
            <w:r>
              <w:t>March 2012</w:t>
            </w:r>
          </w:p>
        </w:tc>
        <w:tc>
          <w:tcPr>
            <w:tcW w:w="637" w:type="pct"/>
          </w:tcPr>
          <w:p w:rsidR="00137760" w:rsidRDefault="00137760" w:rsidP="00921C98"/>
          <w:p w:rsidR="00AE1ECA" w:rsidRDefault="00727C0E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ECA" w:rsidRDefault="00AE1ECA" w:rsidP="00921C98"/>
        </w:tc>
      </w:tr>
      <w:tr w:rsidR="001E43C8" w:rsidTr="001E43C8">
        <w:tc>
          <w:tcPr>
            <w:tcW w:w="577" w:type="pct"/>
          </w:tcPr>
          <w:p w:rsidR="00137760" w:rsidRDefault="00137760" w:rsidP="006C543E"/>
          <w:p w:rsidR="001E43C8" w:rsidRDefault="00137760" w:rsidP="006C543E">
            <w:r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9DD" w:rsidRDefault="003C79DD" w:rsidP="00921C98">
            <w:r>
              <w:t>Develop a cohesive approach to the use of volunteers within Cultural Services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891D68" w:rsidP="00921C98">
            <w:r>
              <w:t>Dave Blackett  (Gill Irvine)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760" w:rsidRDefault="00137760" w:rsidP="00921C98"/>
          <w:p w:rsidR="001E43C8" w:rsidRDefault="00727C0E" w:rsidP="00921C98">
            <w:r>
              <w:t>More volunteers gain experience of working in cultural services</w:t>
            </w:r>
          </w:p>
          <w:p w:rsidR="00727C0E" w:rsidRDefault="00727C0E" w:rsidP="00921C98"/>
          <w:p w:rsidR="00727C0E" w:rsidRDefault="00727C0E" w:rsidP="00C64B16">
            <w:r>
              <w:t>Services</w:t>
            </w:r>
            <w:r w:rsidR="00E93CA5">
              <w:t xml:space="preserve"> and service users</w:t>
            </w:r>
            <w:r>
              <w:t xml:space="preserve"> benefit from using volunteers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E93CA5" w:rsidP="00921C98">
            <w:r>
              <w:t>March 2012</w:t>
            </w:r>
          </w:p>
        </w:tc>
        <w:tc>
          <w:tcPr>
            <w:tcW w:w="637" w:type="pct"/>
          </w:tcPr>
          <w:p w:rsidR="00137760" w:rsidRDefault="00137760" w:rsidP="00921C98"/>
          <w:p w:rsidR="00137760" w:rsidRDefault="00137760" w:rsidP="00921C98"/>
          <w:p w:rsidR="001E43C8" w:rsidRDefault="00E93CA5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C8" w:rsidRDefault="00E93CA5" w:rsidP="00921C98">
            <w:r>
              <w:t>Volunteer Services</w:t>
            </w:r>
          </w:p>
        </w:tc>
      </w:tr>
      <w:tr w:rsidR="00F06C0A" w:rsidTr="00464E75">
        <w:tc>
          <w:tcPr>
            <w:tcW w:w="577" w:type="pct"/>
          </w:tcPr>
          <w:p w:rsidR="00F06C0A" w:rsidRDefault="00137760" w:rsidP="006C543E">
            <w:r>
              <w:lastRenderedPageBreak/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B24162" w:rsidP="00921C98">
            <w:r>
              <w:t xml:space="preserve">Develop an LCC </w:t>
            </w:r>
            <w:r w:rsidR="00450D97">
              <w:t>Reading strategy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891D68" w:rsidP="000F695C">
            <w:r>
              <w:t>Dave Blackett  (Jake Hope)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FF3" w:rsidRDefault="00E93CA5" w:rsidP="00921C9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t>A countywide Reading Strategy produced in partnership with other Directorates within the County Council</w:t>
            </w:r>
            <w:r w:rsidR="00B26FF3" w:rsidRPr="00752F4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B26FF3" w:rsidRDefault="00B26FF3" w:rsidP="00921C98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26FF3" w:rsidRDefault="00B26FF3" w:rsidP="00C64B16">
            <w:r w:rsidRPr="00752F4C">
              <w:rPr>
                <w:rFonts w:cs="Arial"/>
                <w:color w:val="000000"/>
                <w:sz w:val="22"/>
                <w:szCs w:val="22"/>
              </w:rPr>
              <w:t xml:space="preserve">The County Council clearly demonstrates its commitment to reading and literacy and acknowledges the leading role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cultural services </w:t>
            </w:r>
            <w:r w:rsidRPr="00752F4C">
              <w:rPr>
                <w:rFonts w:cs="Arial"/>
                <w:color w:val="000000"/>
                <w:sz w:val="22"/>
                <w:szCs w:val="22"/>
              </w:rPr>
              <w:t xml:space="preserve"> play in delivering this agenda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E93CA5" w:rsidP="00921C98">
            <w:r>
              <w:t>October 2012</w:t>
            </w:r>
          </w:p>
        </w:tc>
        <w:tc>
          <w:tcPr>
            <w:tcW w:w="637" w:type="pct"/>
            <w:vAlign w:val="center"/>
          </w:tcPr>
          <w:p w:rsidR="00F06C0A" w:rsidRDefault="00E93CA5" w:rsidP="00921C98">
            <w:r>
              <w:t>Monthly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E93CA5" w:rsidP="00921C98">
            <w:r>
              <w:t>Communications Services</w:t>
            </w:r>
          </w:p>
        </w:tc>
      </w:tr>
      <w:tr w:rsidR="00F06C0A" w:rsidTr="001E43C8">
        <w:tc>
          <w:tcPr>
            <w:tcW w:w="577" w:type="pct"/>
          </w:tcPr>
          <w:p w:rsidR="00F06C0A" w:rsidRDefault="00137760" w:rsidP="006C543E">
            <w:r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A3189E" w:rsidP="00A3189E">
            <w:r>
              <w:t xml:space="preserve">Develop a Cultural Services approach to the </w:t>
            </w:r>
            <w:r w:rsidR="009B2AC9">
              <w:t xml:space="preserve">Youth cultural </w:t>
            </w:r>
            <w:r>
              <w:t>offer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891D68" w:rsidP="00921C98">
            <w:r>
              <w:t>Julie Bell  (Jean Wolstenholme/Stewart Parsons)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E93CA5" w:rsidP="00921C98">
            <w:r>
              <w:t>Other services within the Culture block benefit from the current work being done in libraries</w:t>
            </w:r>
          </w:p>
          <w:p w:rsidR="00E93CA5" w:rsidRDefault="00E93CA5" w:rsidP="00921C98"/>
          <w:p w:rsidR="00E93CA5" w:rsidRDefault="00E93CA5" w:rsidP="00921C98">
            <w:r>
              <w:t>More young people involved in cultural activities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E93CA5" w:rsidP="00921C98">
            <w:r>
              <w:t>March 2012</w:t>
            </w:r>
          </w:p>
        </w:tc>
        <w:tc>
          <w:tcPr>
            <w:tcW w:w="637" w:type="pct"/>
          </w:tcPr>
          <w:p w:rsidR="00137760" w:rsidRDefault="00137760" w:rsidP="00921C98"/>
          <w:p w:rsidR="00137760" w:rsidRDefault="00137760" w:rsidP="00921C98"/>
          <w:p w:rsidR="00137760" w:rsidRDefault="00137760" w:rsidP="00921C98"/>
          <w:p w:rsidR="00137760" w:rsidRDefault="00137760" w:rsidP="00921C98"/>
          <w:p w:rsidR="00F06C0A" w:rsidRDefault="00E93CA5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C0A" w:rsidRDefault="00E93CA5" w:rsidP="00921C98">
            <w:r>
              <w:t>Communications Services</w:t>
            </w:r>
          </w:p>
          <w:p w:rsidR="00E93CA5" w:rsidRDefault="00E93CA5" w:rsidP="00921C98"/>
          <w:p w:rsidR="00E93CA5" w:rsidRDefault="00E93CA5" w:rsidP="00921C98">
            <w:r>
              <w:t>Corporate IT Services</w:t>
            </w:r>
          </w:p>
          <w:p w:rsidR="00E93CA5" w:rsidRDefault="00E93CA5" w:rsidP="00921C98"/>
          <w:p w:rsidR="00E93CA5" w:rsidRDefault="00E93CA5" w:rsidP="00921C98">
            <w:r>
              <w:t>Property Group</w:t>
            </w:r>
          </w:p>
        </w:tc>
      </w:tr>
      <w:tr w:rsidR="00450D97" w:rsidTr="00464E75">
        <w:tc>
          <w:tcPr>
            <w:tcW w:w="577" w:type="pct"/>
          </w:tcPr>
          <w:p w:rsidR="00450D97" w:rsidRDefault="00137760" w:rsidP="006C543E">
            <w:r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A3189E" w:rsidP="00921C98">
            <w:r>
              <w:t xml:space="preserve">Identify opportunities to work in partnership with other services, </w:t>
            </w:r>
            <w:proofErr w:type="spellStart"/>
            <w:r>
              <w:t>eg</w:t>
            </w:r>
            <w:proofErr w:type="spellEnd"/>
          </w:p>
          <w:p w:rsidR="009B2AC9" w:rsidRDefault="009B2AC9" w:rsidP="009B2AC9">
            <w:pPr>
              <w:numPr>
                <w:ilvl w:val="0"/>
                <w:numId w:val="40"/>
              </w:numPr>
            </w:pPr>
            <w:r>
              <w:t>ACS</w:t>
            </w:r>
          </w:p>
          <w:p w:rsidR="009B2AC9" w:rsidRDefault="009B2AC9" w:rsidP="009B2AC9">
            <w:pPr>
              <w:numPr>
                <w:ilvl w:val="0"/>
                <w:numId w:val="40"/>
              </w:numPr>
            </w:pPr>
            <w:r>
              <w:t>Public Health</w:t>
            </w:r>
          </w:p>
          <w:p w:rsidR="009B2AC9" w:rsidRDefault="009B2AC9" w:rsidP="009B2AC9">
            <w:pPr>
              <w:numPr>
                <w:ilvl w:val="0"/>
                <w:numId w:val="40"/>
              </w:numPr>
            </w:pPr>
            <w:r>
              <w:t>GP Consortia</w:t>
            </w:r>
          </w:p>
          <w:p w:rsidR="00767838" w:rsidRDefault="00032ED1">
            <w:pPr>
              <w:ind w:left="720"/>
              <w:rPr>
                <w:b/>
                <w:bCs/>
                <w:outline/>
                <w:shadow/>
                <w:sz w:val="44"/>
              </w:rPr>
            </w:pPr>
            <w:r>
              <w:t>To explore potential areas of service which could be commissioned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760" w:rsidRDefault="00891D68" w:rsidP="00921C98">
            <w:r>
              <w:t>Ian Watson/</w:t>
            </w:r>
          </w:p>
          <w:p w:rsidR="00450D97" w:rsidRDefault="000F695C" w:rsidP="00921C98">
            <w:r>
              <w:t>CSLT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E93CA5" w:rsidP="00921C98">
            <w:r>
              <w:t>Partnerships developed</w:t>
            </w:r>
          </w:p>
          <w:p w:rsidR="00E93CA5" w:rsidRDefault="00E93CA5" w:rsidP="00921C98"/>
          <w:p w:rsidR="00E93CA5" w:rsidRDefault="00E93CA5" w:rsidP="00921C98">
            <w:r>
              <w:t>Income generated</w:t>
            </w:r>
          </w:p>
          <w:p w:rsidR="00E93CA5" w:rsidRDefault="00E93CA5" w:rsidP="00921C98"/>
          <w:p w:rsidR="00E93CA5" w:rsidRDefault="00E93CA5" w:rsidP="00921C98">
            <w:r>
              <w:t>Service users benefit from cultural services offers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E93CA5" w:rsidP="00921C98">
            <w:r>
              <w:t>March 2012</w:t>
            </w:r>
          </w:p>
        </w:tc>
        <w:tc>
          <w:tcPr>
            <w:tcW w:w="637" w:type="pct"/>
            <w:vAlign w:val="center"/>
          </w:tcPr>
          <w:p w:rsidR="00450D97" w:rsidRDefault="00E93CA5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450D97" w:rsidP="00921C98"/>
        </w:tc>
      </w:tr>
      <w:tr w:rsidR="00450D97" w:rsidTr="001E43C8">
        <w:tc>
          <w:tcPr>
            <w:tcW w:w="577" w:type="pct"/>
          </w:tcPr>
          <w:p w:rsidR="00450D97" w:rsidRDefault="00137760" w:rsidP="006C543E">
            <w:r>
              <w:lastRenderedPageBreak/>
              <w:t>Customers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CD3B91" w:rsidP="00CD3B91">
            <w:r>
              <w:t>Management/review of collections</w:t>
            </w:r>
          </w:p>
          <w:p w:rsidR="00CD3B91" w:rsidRDefault="00032ED1" w:rsidP="00AF03BA">
            <w:pPr>
              <w:numPr>
                <w:ilvl w:val="0"/>
                <w:numId w:val="41"/>
              </w:numPr>
            </w:pPr>
            <w:r>
              <w:t>C</w:t>
            </w:r>
            <w:r w:rsidR="00AF03BA">
              <w:t xml:space="preserve">are and </w:t>
            </w:r>
            <w:r w:rsidR="00E93CA5">
              <w:t xml:space="preserve">preservation </w:t>
            </w:r>
            <w:r>
              <w:t>of collections</w:t>
            </w:r>
          </w:p>
          <w:p w:rsidR="00AF03BA" w:rsidRDefault="00AF03BA" w:rsidP="00032ED1">
            <w:pPr>
              <w:numPr>
                <w:ilvl w:val="0"/>
                <w:numId w:val="41"/>
              </w:numPr>
            </w:pPr>
            <w:r>
              <w:t xml:space="preserve">Review </w:t>
            </w:r>
            <w:r w:rsidR="00032ED1">
              <w:t xml:space="preserve">maintenance and development </w:t>
            </w:r>
            <w:r>
              <w:t xml:space="preserve">of </w:t>
            </w:r>
            <w:r w:rsidR="00032ED1">
              <w:t>collections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58C" w:rsidRDefault="00891D68" w:rsidP="000F695C">
            <w:r>
              <w:t>Bruce Jackson/</w:t>
            </w:r>
          </w:p>
          <w:p w:rsidR="0060758C" w:rsidRDefault="00891D68" w:rsidP="000F695C">
            <w:r>
              <w:t>Julie Bell  (Pamela Ward/</w:t>
            </w:r>
          </w:p>
          <w:p w:rsidR="0060758C" w:rsidRDefault="00891D68" w:rsidP="0060758C">
            <w:r>
              <w:t xml:space="preserve">Julie </w:t>
            </w:r>
            <w:r w:rsidR="0060758C">
              <w:t>Creer</w:t>
            </w:r>
            <w:r>
              <w:t>/</w:t>
            </w:r>
          </w:p>
          <w:p w:rsidR="0060758C" w:rsidRDefault="00891D68" w:rsidP="0060758C">
            <w:r>
              <w:t>Jacquie Crosby/</w:t>
            </w:r>
          </w:p>
          <w:p w:rsidR="00450D97" w:rsidRDefault="00891D68" w:rsidP="0060758C">
            <w:r>
              <w:t>Sue Ashton)</w:t>
            </w:r>
            <w:r w:rsidR="000F695C">
              <w:t xml:space="preserve"> 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E93CA5" w:rsidP="00921C98">
            <w:r>
              <w:t>High quality collections maintained within Cultural Services and made available to the public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E93CA5" w:rsidP="00921C98">
            <w:r>
              <w:t>March 2012</w:t>
            </w:r>
          </w:p>
        </w:tc>
        <w:tc>
          <w:tcPr>
            <w:tcW w:w="637" w:type="pct"/>
          </w:tcPr>
          <w:p w:rsidR="00137760" w:rsidRDefault="00137760" w:rsidP="00921C98"/>
          <w:p w:rsidR="00137760" w:rsidRDefault="00137760" w:rsidP="00921C98"/>
          <w:p w:rsidR="00137760" w:rsidRDefault="00137760" w:rsidP="00921C98"/>
          <w:p w:rsidR="00137760" w:rsidRDefault="00137760" w:rsidP="00921C98"/>
          <w:p w:rsidR="00450D97" w:rsidRDefault="00E93CA5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0D97" w:rsidRDefault="00450D97" w:rsidP="00921C98"/>
        </w:tc>
      </w:tr>
      <w:tr w:rsidR="00CD3B91" w:rsidTr="001E43C8">
        <w:tc>
          <w:tcPr>
            <w:tcW w:w="577" w:type="pct"/>
          </w:tcPr>
          <w:p w:rsidR="00CD3B91" w:rsidRDefault="00137760" w:rsidP="006C543E">
            <w:r>
              <w:t>Communities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3B91" w:rsidRDefault="00032ED1" w:rsidP="00921C98">
            <w:r>
              <w:t>Develop partnerships within LCC and beyond:</w:t>
            </w:r>
          </w:p>
          <w:p w:rsidR="00032ED1" w:rsidRDefault="00032ED1" w:rsidP="00921C98">
            <w:r>
              <w:t>Visitor Economy Improvement Group</w:t>
            </w:r>
          </w:p>
          <w:p w:rsidR="00032ED1" w:rsidRDefault="00032ED1" w:rsidP="00921C98">
            <w:r>
              <w:t>LEPs</w:t>
            </w:r>
          </w:p>
          <w:p w:rsidR="00032ED1" w:rsidRDefault="00032ED1" w:rsidP="00921C98">
            <w:r>
              <w:t>Districts</w:t>
            </w:r>
          </w:p>
          <w:p w:rsidR="00032ED1" w:rsidRDefault="00032ED1" w:rsidP="00921C98">
            <w:r>
              <w:t>Parishes</w:t>
            </w:r>
          </w:p>
          <w:p w:rsidR="00032ED1" w:rsidRDefault="00032ED1" w:rsidP="00921C98"/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3B91" w:rsidRDefault="00891D68" w:rsidP="00921C98">
            <w:r>
              <w:t>Ian Watson /</w:t>
            </w:r>
            <w:r w:rsidR="003C79DD">
              <w:t>CSLT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3B91" w:rsidRDefault="00E93CA5" w:rsidP="00921C98">
            <w:r>
              <w:t xml:space="preserve">Cultural Services demonstrate their value to </w:t>
            </w:r>
            <w:r w:rsidR="00045FBB">
              <w:t>partners and contribute to the economic development of the region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3B91" w:rsidRDefault="00045FBB" w:rsidP="00921C98">
            <w:r>
              <w:t>March 2012</w:t>
            </w:r>
          </w:p>
        </w:tc>
        <w:tc>
          <w:tcPr>
            <w:tcW w:w="637" w:type="pct"/>
          </w:tcPr>
          <w:p w:rsidR="00137760" w:rsidRDefault="00137760" w:rsidP="00921C98"/>
          <w:p w:rsidR="00137760" w:rsidRDefault="00137760" w:rsidP="00921C98"/>
          <w:p w:rsidR="00137760" w:rsidRDefault="00137760" w:rsidP="00921C98"/>
          <w:p w:rsidR="00137760" w:rsidRDefault="00137760" w:rsidP="00921C98"/>
          <w:p w:rsidR="00CD3B91" w:rsidRDefault="00045FBB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3B91" w:rsidRDefault="00CD3B91" w:rsidP="00921C98"/>
        </w:tc>
      </w:tr>
      <w:tr w:rsidR="00E36E6A" w:rsidTr="001E43C8">
        <w:tc>
          <w:tcPr>
            <w:tcW w:w="577" w:type="pct"/>
          </w:tcPr>
          <w:p w:rsidR="00E36E6A" w:rsidRDefault="00E36E6A" w:rsidP="006C543E">
            <w:r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E36E6A" w:rsidP="00921C98">
            <w:r>
              <w:t>Explore the potential benefits of shared services in the region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58C" w:rsidRDefault="00E36E6A" w:rsidP="00921C98">
            <w:r>
              <w:t>Ian Watson/</w:t>
            </w:r>
          </w:p>
          <w:p w:rsidR="00E36E6A" w:rsidRDefault="00E36E6A" w:rsidP="00921C98">
            <w:r>
              <w:t>CSLT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E36E6A" w:rsidP="00921C98">
            <w:r>
              <w:t>Services become more effective and efficient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E36E6A" w:rsidP="00921C98">
            <w:r>
              <w:t>March 2012</w:t>
            </w:r>
          </w:p>
        </w:tc>
        <w:tc>
          <w:tcPr>
            <w:tcW w:w="637" w:type="pct"/>
          </w:tcPr>
          <w:p w:rsidR="00E36E6A" w:rsidRDefault="00E36E6A" w:rsidP="00921C98"/>
          <w:p w:rsidR="00E36E6A" w:rsidRDefault="00E36E6A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E36E6A" w:rsidP="00921C98"/>
        </w:tc>
      </w:tr>
      <w:tr w:rsidR="00E36E6A" w:rsidTr="001E43C8">
        <w:tc>
          <w:tcPr>
            <w:tcW w:w="577" w:type="pct"/>
          </w:tcPr>
          <w:p w:rsidR="00E36E6A" w:rsidRDefault="00E36E6A" w:rsidP="006C543E">
            <w:r>
              <w:t>Communities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E36E6A" w:rsidP="00921C98">
            <w:r>
              <w:t>Museum of Lancashire project completed an</w:t>
            </w:r>
            <w:r w:rsidR="00D86933">
              <w:t>d operational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D86933" w:rsidP="00921C98">
            <w:r>
              <w:t>Bruce Jackson (Sue Ashton)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D86933" w:rsidP="00921C98">
            <w:r>
              <w:t>Communities of Lancashire and beyond have access to a quality museum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D86933" w:rsidP="00921C98">
            <w:r>
              <w:t>March 2012</w:t>
            </w:r>
          </w:p>
        </w:tc>
        <w:tc>
          <w:tcPr>
            <w:tcW w:w="637" w:type="pct"/>
          </w:tcPr>
          <w:p w:rsidR="00E36E6A" w:rsidRDefault="00D86933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6E6A" w:rsidRDefault="00D86933" w:rsidP="00921C98">
            <w:r>
              <w:t>Communications Service</w:t>
            </w:r>
          </w:p>
        </w:tc>
      </w:tr>
      <w:tr w:rsidR="00180B06" w:rsidTr="001E43C8">
        <w:tc>
          <w:tcPr>
            <w:tcW w:w="577" w:type="pct"/>
          </w:tcPr>
          <w:p w:rsidR="00180B06" w:rsidRDefault="00180B06" w:rsidP="006C543E">
            <w:r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0B06" w:rsidRDefault="00180B06" w:rsidP="00180B06">
            <w:r>
              <w:t>Use the Carbon Action Standard as a tool for reducing energy consumption in cultural services establishments, thereby cutting costs.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0B06" w:rsidRDefault="00891D68" w:rsidP="00921C98">
            <w:r>
              <w:t>Dave Blackett  (Ann Marsh)</w:t>
            </w:r>
          </w:p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0B06" w:rsidRDefault="00180B06" w:rsidP="00921C98">
            <w:r>
              <w:t>Reduction of energy consumption in cultural services establishments.</w:t>
            </w:r>
          </w:p>
          <w:p w:rsidR="00180B06" w:rsidRDefault="00180B06" w:rsidP="00921C98"/>
          <w:p w:rsidR="00180B06" w:rsidRDefault="00180B06" w:rsidP="00180B06">
            <w:r>
              <w:t>Reduction in energy charges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0B06" w:rsidRDefault="00180B06" w:rsidP="00921C98">
            <w:r>
              <w:t>March 2012</w:t>
            </w:r>
          </w:p>
        </w:tc>
        <w:tc>
          <w:tcPr>
            <w:tcW w:w="637" w:type="pct"/>
          </w:tcPr>
          <w:p w:rsidR="00180B06" w:rsidRDefault="00180B06" w:rsidP="00921C98"/>
          <w:p w:rsidR="00180B06" w:rsidRDefault="00180B06" w:rsidP="00921C98"/>
          <w:p w:rsidR="00180B06" w:rsidRDefault="00180B06" w:rsidP="00921C98">
            <w:r>
              <w:t>Quarterly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0B06" w:rsidRDefault="00180B06" w:rsidP="00921C98"/>
        </w:tc>
      </w:tr>
      <w:tr w:rsidR="00CD3B91" w:rsidTr="00464E75">
        <w:tc>
          <w:tcPr>
            <w:tcW w:w="577" w:type="pct"/>
          </w:tcPr>
          <w:p w:rsidR="00137760" w:rsidRDefault="00137760" w:rsidP="006C543E"/>
          <w:p w:rsidR="00137760" w:rsidRDefault="00137760" w:rsidP="006C543E">
            <w:r>
              <w:t>Citizens</w:t>
            </w:r>
          </w:p>
        </w:tc>
        <w:tc>
          <w:tcPr>
            <w:tcW w:w="9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9DD" w:rsidRDefault="003C79DD" w:rsidP="00921C98"/>
          <w:p w:rsidR="003C79DD" w:rsidRDefault="003C79DD" w:rsidP="00921C98">
            <w:r>
              <w:t>Forward plan for major events in 2012:</w:t>
            </w:r>
          </w:p>
          <w:p w:rsidR="00C64B16" w:rsidRDefault="00C64B16" w:rsidP="00921C98"/>
          <w:p w:rsidR="003C79DD" w:rsidRDefault="003C79DD" w:rsidP="00891D68">
            <w:pPr>
              <w:pStyle w:val="ListParagraph"/>
              <w:numPr>
                <w:ilvl w:val="0"/>
                <w:numId w:val="50"/>
              </w:numPr>
            </w:pPr>
            <w:r>
              <w:t>Olympic Games</w:t>
            </w:r>
          </w:p>
          <w:p w:rsidR="003C79DD" w:rsidRDefault="003C79DD" w:rsidP="00891D68">
            <w:pPr>
              <w:pStyle w:val="ListParagraph"/>
              <w:numPr>
                <w:ilvl w:val="0"/>
                <w:numId w:val="50"/>
              </w:numPr>
            </w:pPr>
            <w:r>
              <w:t>Cultural Olympiad</w:t>
            </w:r>
          </w:p>
          <w:p w:rsidR="003C79DD" w:rsidRDefault="003C79DD" w:rsidP="00891D68">
            <w:pPr>
              <w:pStyle w:val="ListParagraph"/>
              <w:numPr>
                <w:ilvl w:val="0"/>
                <w:numId w:val="50"/>
              </w:numPr>
            </w:pPr>
            <w:r>
              <w:t>Pendle Witches</w:t>
            </w:r>
          </w:p>
          <w:p w:rsidR="003C79DD" w:rsidRDefault="003C79DD" w:rsidP="00891D68">
            <w:pPr>
              <w:pStyle w:val="ListParagraph"/>
              <w:numPr>
                <w:ilvl w:val="0"/>
                <w:numId w:val="50"/>
              </w:numPr>
            </w:pPr>
            <w:r>
              <w:t>Preston Guild</w:t>
            </w:r>
          </w:p>
          <w:p w:rsidR="003C79DD" w:rsidRDefault="003C79DD" w:rsidP="00891D68">
            <w:pPr>
              <w:pStyle w:val="ListParagraph"/>
              <w:numPr>
                <w:ilvl w:val="0"/>
                <w:numId w:val="50"/>
              </w:numPr>
            </w:pPr>
            <w:r>
              <w:t>Open Golf</w:t>
            </w:r>
          </w:p>
          <w:p w:rsidR="00891D68" w:rsidRDefault="00891D68" w:rsidP="00891D68">
            <w:pPr>
              <w:pStyle w:val="ListParagraph"/>
              <w:numPr>
                <w:ilvl w:val="0"/>
                <w:numId w:val="50"/>
              </w:numPr>
            </w:pPr>
            <w:r>
              <w:t>Charles Dickens</w:t>
            </w:r>
          </w:p>
          <w:p w:rsidR="00891D68" w:rsidRDefault="00891D68" w:rsidP="00891D68">
            <w:pPr>
              <w:pStyle w:val="ListParagraph"/>
              <w:numPr>
                <w:ilvl w:val="0"/>
                <w:numId w:val="50"/>
              </w:numPr>
            </w:pPr>
            <w:r>
              <w:t>Titanic</w:t>
            </w:r>
          </w:p>
          <w:p w:rsidR="00891D68" w:rsidRDefault="00891D68" w:rsidP="00891D68">
            <w:pPr>
              <w:pStyle w:val="ListParagraph"/>
              <w:numPr>
                <w:ilvl w:val="0"/>
                <w:numId w:val="50"/>
              </w:numPr>
            </w:pPr>
            <w:r>
              <w:t>Diamond Jubilee</w:t>
            </w:r>
          </w:p>
        </w:tc>
        <w:tc>
          <w:tcPr>
            <w:tcW w:w="5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760" w:rsidRDefault="00891D68" w:rsidP="00921C98">
            <w:r>
              <w:t>Julie Bell  (Development Team)</w:t>
            </w:r>
          </w:p>
          <w:p w:rsidR="00137760" w:rsidRDefault="00137760" w:rsidP="00921C98"/>
          <w:p w:rsidR="00CD3B91" w:rsidRDefault="00CD3B91" w:rsidP="00921C98"/>
        </w:tc>
        <w:tc>
          <w:tcPr>
            <w:tcW w:w="12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3B91" w:rsidRDefault="00B02E52" w:rsidP="00921C98">
            <w:r>
              <w:t>High profile, high quality events delivered by LCC Cultural Services</w:t>
            </w:r>
          </w:p>
        </w:tc>
        <w:tc>
          <w:tcPr>
            <w:tcW w:w="5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3B91" w:rsidRDefault="00B02E52" w:rsidP="00921C98">
            <w:r>
              <w:t>Jan – Dec 2012</w:t>
            </w:r>
          </w:p>
        </w:tc>
        <w:tc>
          <w:tcPr>
            <w:tcW w:w="637" w:type="pct"/>
            <w:vAlign w:val="center"/>
          </w:tcPr>
          <w:p w:rsidR="00CD3B91" w:rsidRPr="00B02E52" w:rsidRDefault="00464E75" w:rsidP="00B02E52">
            <w:r>
              <w:t>Q</w:t>
            </w:r>
            <w:r w:rsidR="00B02E52">
              <w:t>uarterly</w:t>
            </w:r>
          </w:p>
        </w:tc>
        <w:tc>
          <w:tcPr>
            <w:tcW w:w="4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760" w:rsidRDefault="00137760" w:rsidP="00921C98"/>
          <w:p w:rsidR="00CD3B91" w:rsidRDefault="00B02E52" w:rsidP="00921C98">
            <w:r>
              <w:t>Communications Services</w:t>
            </w:r>
          </w:p>
          <w:p w:rsidR="00B02E52" w:rsidRDefault="00B02E52" w:rsidP="00921C98"/>
          <w:p w:rsidR="00E93CA5" w:rsidRDefault="00E93CA5" w:rsidP="00921C98">
            <w:r>
              <w:t>Corporate</w:t>
            </w:r>
          </w:p>
          <w:p w:rsidR="00B02E52" w:rsidRDefault="00B02E52" w:rsidP="00921C98">
            <w:r>
              <w:t>IT Services</w:t>
            </w:r>
          </w:p>
        </w:tc>
      </w:tr>
    </w:tbl>
    <w:p w:rsidR="00585102" w:rsidRDefault="008B66BC">
      <w:pPr>
        <w:spacing w:before="120" w:after="120"/>
      </w:pPr>
      <w:hyperlink w:anchor="Contents" w:history="1">
        <w:r w:rsidR="00585102">
          <w:rPr>
            <w:rStyle w:val="Hyperlink"/>
          </w:rPr>
          <w:t>Back to Contents</w:t>
        </w:r>
      </w:hyperlink>
    </w:p>
    <w:p w:rsidR="00444F9F" w:rsidRDefault="00444F9F">
      <w:pPr>
        <w:spacing w:before="120" w:after="120"/>
      </w:pPr>
    </w:p>
    <w:p w:rsidR="00D86933" w:rsidRDefault="00D86933">
      <w:pPr>
        <w:spacing w:before="120" w:after="120"/>
      </w:pPr>
    </w:p>
    <w:p w:rsidR="00D86933" w:rsidRDefault="00D86933">
      <w:pPr>
        <w:spacing w:before="120" w:after="120"/>
      </w:pPr>
    </w:p>
    <w:p w:rsidR="00D86933" w:rsidRDefault="00D86933">
      <w:pPr>
        <w:spacing w:before="120" w:after="120"/>
      </w:pPr>
    </w:p>
    <w:p w:rsidR="00D86933" w:rsidRDefault="00D86933">
      <w:pPr>
        <w:spacing w:before="120" w:after="120"/>
      </w:pPr>
    </w:p>
    <w:p w:rsidR="00D86933" w:rsidRDefault="00D86933">
      <w:pPr>
        <w:spacing w:before="120" w:after="120"/>
      </w:pPr>
    </w:p>
    <w:p w:rsidR="0060758C" w:rsidRDefault="0060758C">
      <w:pPr>
        <w:spacing w:before="120" w:after="120"/>
      </w:pPr>
    </w:p>
    <w:p w:rsidR="0060758C" w:rsidRDefault="0060758C">
      <w:pPr>
        <w:spacing w:before="120" w:after="120"/>
      </w:pPr>
    </w:p>
    <w:p w:rsidR="0060758C" w:rsidRDefault="0060758C">
      <w:pPr>
        <w:spacing w:before="120" w:after="120"/>
      </w:pPr>
    </w:p>
    <w:p w:rsidR="0060758C" w:rsidRDefault="0060758C">
      <w:pPr>
        <w:spacing w:before="120" w:after="120"/>
      </w:pPr>
    </w:p>
    <w:p w:rsidR="0060758C" w:rsidRDefault="0060758C">
      <w:pPr>
        <w:spacing w:before="120" w:after="120"/>
      </w:pPr>
    </w:p>
    <w:p w:rsidR="00234453" w:rsidRDefault="00234453">
      <w:pPr>
        <w:spacing w:before="120" w:after="120"/>
      </w:pPr>
    </w:p>
    <w:p w:rsidR="005B20A9" w:rsidRDefault="005B20A9" w:rsidP="005B20A9">
      <w:pPr>
        <w:pStyle w:val="BPHeaders"/>
      </w:pPr>
      <w:bookmarkStart w:id="41" w:name="_Toc240861478"/>
    </w:p>
    <w:p w:rsidR="001E43C8" w:rsidRPr="00F10D17" w:rsidRDefault="008B66BC" w:rsidP="005B20A9">
      <w:pPr>
        <w:pStyle w:val="BPHeaders"/>
      </w:pPr>
      <w:bookmarkStart w:id="42" w:name="_Toc283280758"/>
      <w:r w:rsidRPr="008B66BC">
        <w:rPr>
          <w:shadow w:val="0"/>
          <w:noProof/>
          <w:szCs w:val="44"/>
          <w:lang w:val="en-US"/>
        </w:rPr>
        <w:pict>
          <v:rect id="_x0000_s1029" style="position:absolute;left:0;text-align:left;margin-left:-12pt;margin-top:-4.45pt;width:732pt;height:31.45pt;z-index:-251658752" filled="f" fillcolor="#3c3" strokeweight="1pt">
            <v:fill color2="#99f86e"/>
          </v:rect>
        </w:pict>
      </w:r>
      <w:r w:rsidR="005B20A9">
        <w:t xml:space="preserve">Looking Ahead to </w:t>
      </w:r>
      <w:r w:rsidR="001E43C8" w:rsidRPr="00F10D17">
        <w:t>201</w:t>
      </w:r>
      <w:r w:rsidR="005B20A9">
        <w:t>2</w:t>
      </w:r>
      <w:r w:rsidR="001E43C8" w:rsidRPr="00F10D17">
        <w:t xml:space="preserve"> - 201</w:t>
      </w:r>
      <w:bookmarkEnd w:id="41"/>
      <w:r w:rsidR="005B20A9">
        <w:t>3</w:t>
      </w:r>
      <w:bookmarkEnd w:id="42"/>
    </w:p>
    <w:p w:rsidR="005B20A9" w:rsidRDefault="005B20A9" w:rsidP="001E43C8"/>
    <w:p w:rsidR="001E43C8" w:rsidRPr="005B20A9" w:rsidRDefault="001E43C8" w:rsidP="005B20A9">
      <w:pPr>
        <w:pStyle w:val="BPHeading1"/>
        <w:rPr>
          <w:u w:val="none"/>
        </w:rPr>
      </w:pPr>
      <w:bookmarkStart w:id="43" w:name="_Toc283280759"/>
      <w:r w:rsidRPr="005B20A9">
        <w:rPr>
          <w:u w:val="none"/>
        </w:rPr>
        <w:t>Looking ahead we would like to:</w:t>
      </w:r>
      <w:bookmarkEnd w:id="43"/>
    </w:p>
    <w:p w:rsidR="001E43C8" w:rsidRDefault="00045FBB" w:rsidP="001E43C8">
      <w:pPr>
        <w:numPr>
          <w:ilvl w:val="0"/>
          <w:numId w:val="29"/>
        </w:numPr>
        <w:ind w:firstLine="0"/>
      </w:pPr>
      <w:r>
        <w:t>Meet or exceed targets set on the Corporate scorecard</w:t>
      </w:r>
    </w:p>
    <w:p w:rsidR="00045FBB" w:rsidRDefault="00045FBB" w:rsidP="001E43C8">
      <w:pPr>
        <w:numPr>
          <w:ilvl w:val="0"/>
          <w:numId w:val="29"/>
        </w:numPr>
        <w:ind w:firstLine="0"/>
      </w:pPr>
      <w:r>
        <w:t>Deliver required savings in the County Council's Financial Strategy</w:t>
      </w:r>
    </w:p>
    <w:p w:rsidR="00045FBB" w:rsidRDefault="00045FBB" w:rsidP="001E43C8">
      <w:pPr>
        <w:numPr>
          <w:ilvl w:val="0"/>
          <w:numId w:val="29"/>
        </w:numPr>
        <w:ind w:firstLine="0"/>
      </w:pPr>
      <w:r>
        <w:t>Deliver excellent customer service through all cultural services</w:t>
      </w:r>
    </w:p>
    <w:p w:rsidR="00045FBB" w:rsidRDefault="00045FBB" w:rsidP="001E43C8">
      <w:pPr>
        <w:numPr>
          <w:ilvl w:val="0"/>
          <w:numId w:val="29"/>
        </w:numPr>
        <w:ind w:firstLine="0"/>
      </w:pPr>
      <w:r>
        <w:t>Continue to develop innovative services with reduced staffing capacity</w:t>
      </w:r>
    </w:p>
    <w:p w:rsidR="00045FBB" w:rsidRDefault="00045FBB" w:rsidP="001E43C8">
      <w:pPr>
        <w:numPr>
          <w:ilvl w:val="0"/>
          <w:numId w:val="29"/>
        </w:numPr>
        <w:ind w:firstLine="0"/>
      </w:pPr>
      <w:r>
        <w:t>Continue to improve the building stock within cultural services</w:t>
      </w:r>
    </w:p>
    <w:p w:rsidR="00045FBB" w:rsidRPr="00EA69A0" w:rsidRDefault="00045FBB" w:rsidP="001E43C8">
      <w:pPr>
        <w:numPr>
          <w:ilvl w:val="0"/>
          <w:numId w:val="29"/>
        </w:numPr>
        <w:ind w:firstLine="0"/>
      </w:pPr>
      <w:r>
        <w:t>Increase the number of political advocates in support of cultural services</w:t>
      </w:r>
    </w:p>
    <w:p w:rsidR="001E43C8" w:rsidRDefault="001E43C8" w:rsidP="004C677C">
      <w:pPr>
        <w:spacing w:before="120" w:after="120"/>
        <w:rPr>
          <w:b/>
          <w:bCs/>
        </w:rPr>
      </w:pPr>
    </w:p>
    <w:p w:rsidR="005B20A9" w:rsidRDefault="005B20A9" w:rsidP="004C677C">
      <w:pPr>
        <w:spacing w:before="120" w:after="120"/>
        <w:rPr>
          <w:b/>
          <w:bCs/>
        </w:rPr>
      </w:pPr>
    </w:p>
    <w:p w:rsidR="005B20A9" w:rsidRDefault="005B20A9" w:rsidP="004C677C">
      <w:pPr>
        <w:spacing w:before="120" w:after="120"/>
        <w:rPr>
          <w:b/>
          <w:bCs/>
        </w:rPr>
      </w:pPr>
    </w:p>
    <w:p w:rsidR="004C677C" w:rsidRDefault="004C677C" w:rsidP="004C677C">
      <w:pPr>
        <w:spacing w:before="120" w:after="120"/>
        <w:rPr>
          <w:b/>
          <w:bCs/>
        </w:rPr>
      </w:pPr>
      <w:bookmarkStart w:id="44" w:name="_Toc156199434"/>
      <w:bookmarkStart w:id="45" w:name="_Toc156200473"/>
      <w:bookmarkStart w:id="46" w:name="_Toc225926128"/>
    </w:p>
    <w:p w:rsidR="002D129C" w:rsidRPr="004C677C" w:rsidRDefault="002D129C" w:rsidP="005B20A9">
      <w:pPr>
        <w:pStyle w:val="BPHead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44"/>
        </w:rPr>
      </w:pPr>
      <w:bookmarkStart w:id="47" w:name="_Toc283280760"/>
      <w:r w:rsidRPr="002D129C">
        <w:rPr>
          <w:szCs w:val="44"/>
        </w:rPr>
        <w:t>Background Information</w:t>
      </w:r>
      <w:bookmarkEnd w:id="44"/>
      <w:bookmarkEnd w:id="45"/>
      <w:bookmarkEnd w:id="46"/>
      <w:bookmarkEnd w:id="47"/>
    </w:p>
    <w:p w:rsidR="00585102" w:rsidRPr="002D129C" w:rsidRDefault="00EE60A6" w:rsidP="004C677C">
      <w:pPr>
        <w:pStyle w:val="BPHeading1"/>
      </w:pPr>
      <w:bookmarkStart w:id="48" w:name="_Toc283280761"/>
      <w:r>
        <w:t>Service</w:t>
      </w:r>
      <w:r w:rsidR="00504283" w:rsidRPr="002D129C">
        <w:t xml:space="preserve"> </w:t>
      </w:r>
      <w:r w:rsidR="002D129C">
        <w:t>Structure</w:t>
      </w:r>
      <w:bookmarkEnd w:id="48"/>
    </w:p>
    <w:p w:rsidR="00585102" w:rsidRDefault="00585102"/>
    <w:tbl>
      <w:tblPr>
        <w:tblW w:w="11055" w:type="dxa"/>
        <w:tblInd w:w="93" w:type="dxa"/>
        <w:tblLook w:val="04A0"/>
      </w:tblPr>
      <w:tblGrid>
        <w:gridCol w:w="272"/>
        <w:gridCol w:w="2440"/>
        <w:gridCol w:w="280"/>
        <w:gridCol w:w="259"/>
        <w:gridCol w:w="272"/>
        <w:gridCol w:w="272"/>
        <w:gridCol w:w="2792"/>
        <w:gridCol w:w="305"/>
        <w:gridCol w:w="250"/>
        <w:gridCol w:w="324"/>
        <w:gridCol w:w="250"/>
        <w:gridCol w:w="272"/>
        <w:gridCol w:w="880"/>
        <w:gridCol w:w="2187"/>
      </w:tblGrid>
      <w:tr w:rsidR="00765E5D" w:rsidRPr="00765E5D" w:rsidTr="00E5483E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Head of Cultural Services -</w:t>
            </w:r>
            <w:r w:rsidRPr="00765E5D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Ian Watson 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(Cultural Services)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67838" w:rsidRPr="00765E5D" w:rsidTr="00E5483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767838" w:rsidRPr="00765E5D" w:rsidTr="00E5483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="00765E5D" w:rsidRPr="00765E5D" w:rsidTr="00E5483E">
        <w:trPr>
          <w:trHeight w:val="99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County Heritage Manager -         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Bruce Jackson 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83E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Cultural Services  Development Manager -    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David Blackett                                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83E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765E5D">
                  <w:rPr>
                    <w:rFonts w:cs="Arial"/>
                    <w:sz w:val="16"/>
                    <w:szCs w:val="16"/>
                    <w:lang w:eastAsia="en-GB"/>
                  </w:rPr>
                  <w:t>County</w:t>
                </w:r>
              </w:smartTag>
              <w:r w:rsidRPr="00765E5D">
                <w:rPr>
                  <w:rFonts w:cs="Arial"/>
                  <w:sz w:val="16"/>
                  <w:szCs w:val="16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765E5D">
                  <w:rPr>
                    <w:rFonts w:cs="Arial"/>
                    <w:sz w:val="16"/>
                    <w:szCs w:val="16"/>
                    <w:lang w:eastAsia="en-GB"/>
                  </w:rPr>
                  <w:t>Libraries</w:t>
                </w:r>
              </w:smartTag>
            </w:smartTag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Manager -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Julie Bell (Library HQ)</w:t>
            </w:r>
          </w:p>
        </w:tc>
      </w:tr>
      <w:tr w:rsidR="00767838" w:rsidRPr="00765E5D" w:rsidTr="00E5483E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767838" w:rsidRPr="00765E5D" w:rsidTr="00E5483E">
        <w:trPr>
          <w:trHeight w:val="117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Archives Service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Jacquie Crosby 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Access Development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Gill </w:t>
            </w:r>
            <w:smartTag w:uri="urn:schemas-microsoft-com:office:smarttags" w:element="City">
              <w:smartTag w:uri="urn:schemas-microsoft-com:office:smarttags" w:element="place">
                <w:r w:rsidRPr="00765E5D">
                  <w:rPr>
                    <w:rFonts w:cs="Arial"/>
                    <w:b/>
                    <w:bCs/>
                    <w:color w:val="FF0000"/>
                    <w:sz w:val="16"/>
                    <w:szCs w:val="16"/>
                    <w:lang w:eastAsia="en-GB"/>
                  </w:rPr>
                  <w:t>Irvine</w:t>
                </w:r>
              </w:smartTag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83E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Area Manager Libraries       (Fylde Coast &amp; Mobiles) -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Janet Procter  (Libraries Area 1)</w:t>
            </w:r>
          </w:p>
        </w:tc>
      </w:tr>
      <w:tr w:rsidR="00767838" w:rsidRPr="00765E5D" w:rsidTr="00E5483E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767838" w:rsidRPr="00765E5D" w:rsidTr="00E5483E">
        <w:trPr>
          <w:trHeight w:val="93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Area Manager Museums    (Fylde Coast &amp; Mid-Lancs)  -              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Paul Thompson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Arts Development Manager </w:t>
            </w:r>
            <w:r w:rsidR="003F6D51">
              <w:rPr>
                <w:rFonts w:cs="Arial"/>
                <w:sz w:val="16"/>
                <w:szCs w:val="16"/>
                <w:lang w:eastAsia="en-GB"/>
              </w:rPr>
              <w:t>–</w:t>
            </w: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Elaine Roberts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District Managers             </w:t>
            </w:r>
          </w:p>
        </w:tc>
      </w:tr>
      <w:tr w:rsidR="00767838" w:rsidRPr="00765E5D" w:rsidTr="00E5483E">
        <w:trPr>
          <w:trHeight w:val="7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Fylde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Sheila Woodburn  (Libraries Area 1 - Fylde)</w:t>
            </w:r>
          </w:p>
        </w:tc>
      </w:tr>
      <w:tr w:rsidR="00767838" w:rsidRPr="00765E5D" w:rsidTr="00E5483E">
        <w:trPr>
          <w:trHeight w:val="90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Area Manager Museums (Pennine Lancs) -</w:t>
            </w:r>
            <w:r w:rsidRPr="00765E5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                       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Susan Liddell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Children &amp; Young People's Development Manager -  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Jean Wolstenholme                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Wyre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Janet Thomas              (Libraries Area 1 - Wyre)</w:t>
            </w:r>
          </w:p>
        </w:tc>
      </w:tr>
      <w:tr w:rsidR="00767838" w:rsidRPr="00765E5D" w:rsidTr="00E5483E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767838" w:rsidRPr="00765E5D" w:rsidTr="00E5483E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proofErr w:type="spellStart"/>
            <w:r w:rsidRPr="00765E5D">
              <w:rPr>
                <w:rFonts w:cs="Arial"/>
                <w:sz w:val="16"/>
                <w:szCs w:val="16"/>
                <w:lang w:eastAsia="en-GB"/>
              </w:rPr>
              <w:t>Museums</w:t>
            </w:r>
            <w:proofErr w:type="spellEnd"/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Collections Manager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Susan Ashworth 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Exhibition Manager -  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Andrew Allen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i/>
                <w:iCs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Area Manager Libraries       (Mid-Lancashire) -            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Donald Brooks (Libraries Area 2)</w:t>
            </w:r>
          </w:p>
        </w:tc>
      </w:tr>
      <w:tr w:rsidR="00767838" w:rsidRPr="00765E5D" w:rsidTr="00E5483E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767838" w:rsidRPr="00765E5D" w:rsidTr="00E5483E">
        <w:trPr>
          <w:trHeight w:val="67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Conservation Manager -     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Heather Davis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Information Development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Carolyn Waite 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District Managers</w:t>
            </w:r>
          </w:p>
        </w:tc>
      </w:tr>
      <w:tr w:rsidR="00767838" w:rsidRPr="00765E5D" w:rsidTr="00E5483E">
        <w:trPr>
          <w:trHeight w:val="9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Chorley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Diane Scarborough (Libraries Area 2 - </w:t>
            </w:r>
            <w:smartTag w:uri="urn:schemas-microsoft-com:office:smarttags" w:element="place">
              <w:r w:rsidRPr="00765E5D">
                <w:rPr>
                  <w:rFonts w:cs="Arial"/>
                  <w:b/>
                  <w:bCs/>
                  <w:color w:val="FF0000"/>
                  <w:sz w:val="16"/>
                  <w:szCs w:val="16"/>
                  <w:lang w:eastAsia="en-GB"/>
                </w:rPr>
                <w:t>Chorley</w:t>
              </w:r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)</w:t>
            </w:r>
          </w:p>
        </w:tc>
      </w:tr>
      <w:tr w:rsidR="00767838" w:rsidRPr="00765E5D" w:rsidTr="00E5483E">
        <w:trPr>
          <w:trHeight w:val="67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Preservation Manager -                          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Susan Tobutt 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Learning Development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Gill </w:t>
            </w:r>
            <w:proofErr w:type="spellStart"/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Brailey</w:t>
            </w:r>
            <w:proofErr w:type="spellEnd"/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Lancaster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Di Baxter  (Libraries Area 1 - </w:t>
            </w:r>
            <w:smartTag w:uri="urn:schemas-microsoft-com:office:smarttags" w:element="City">
              <w:smartTag w:uri="urn:schemas-microsoft-com:office:smarttags" w:element="place">
                <w:r w:rsidRPr="00765E5D">
                  <w:rPr>
                    <w:rFonts w:cs="Arial"/>
                    <w:b/>
                    <w:bCs/>
                    <w:color w:val="FF0000"/>
                    <w:sz w:val="16"/>
                    <w:szCs w:val="16"/>
                    <w:lang w:eastAsia="en-GB"/>
                  </w:rPr>
                  <w:t>Lancaster</w:t>
                </w:r>
              </w:smartTag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)</w:t>
            </w:r>
          </w:p>
        </w:tc>
      </w:tr>
      <w:tr w:rsidR="00767838" w:rsidRPr="00765E5D" w:rsidTr="00E5483E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Preston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Karen Dobson  (Libraries Area 2 - </w:t>
            </w:r>
            <w:smartTag w:uri="urn:schemas-microsoft-com:office:smarttags" w:element="place">
              <w:r w:rsidRPr="00765E5D">
                <w:rPr>
                  <w:rFonts w:cs="Arial"/>
                  <w:b/>
                  <w:bCs/>
                  <w:color w:val="FF0000"/>
                  <w:sz w:val="16"/>
                  <w:szCs w:val="16"/>
                  <w:lang w:eastAsia="en-GB"/>
                </w:rPr>
                <w:t>Preston</w:t>
              </w:r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)</w:t>
            </w:r>
          </w:p>
        </w:tc>
      </w:tr>
      <w:tr w:rsidR="00767838" w:rsidRPr="00765E5D" w:rsidTr="00E5483E">
        <w:trPr>
          <w:trHeight w:val="9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Records Management Services Manager </w:t>
            </w:r>
            <w:r w:rsidR="003F6D51">
              <w:rPr>
                <w:rFonts w:cs="Arial"/>
                <w:sz w:val="16"/>
                <w:szCs w:val="16"/>
                <w:lang w:eastAsia="en-GB"/>
              </w:rPr>
              <w:t>–</w:t>
            </w: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00765E5D" w:rsidRPr="00765E5D" w:rsidRDefault="00765E5D" w:rsidP="00464E7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Rachel Moffat 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3F6D51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Planning and Performance Manager -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Ann Marsh                   </w:t>
            </w:r>
            <w:r w:rsidR="003F6D51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   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South Ribble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Hazel Becker  (Libraries Area 2 - </w:t>
            </w:r>
            <w:smartTag w:uri="urn:schemas-microsoft-com:office:smarttags" w:element="place">
              <w:r w:rsidRPr="00765E5D">
                <w:rPr>
                  <w:rFonts w:cs="Arial"/>
                  <w:b/>
                  <w:bCs/>
                  <w:color w:val="FF0000"/>
                  <w:sz w:val="16"/>
                  <w:szCs w:val="16"/>
                  <w:lang w:eastAsia="en-GB"/>
                </w:rPr>
                <w:t>South Ribble</w:t>
              </w:r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)</w:t>
            </w:r>
          </w:p>
        </w:tc>
      </w:tr>
      <w:tr w:rsidR="00767838" w:rsidRPr="00765E5D" w:rsidTr="00E5483E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D51" w:rsidRDefault="00765E5D" w:rsidP="003F6D51">
            <w:pPr>
              <w:numPr>
                <w:ilvl w:val="0"/>
                <w:numId w:val="29"/>
              </w:num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West Lancashire -            </w:t>
            </w:r>
          </w:p>
          <w:p w:rsidR="00765E5D" w:rsidRPr="00765E5D" w:rsidRDefault="00765E5D" w:rsidP="003F6D51">
            <w:pPr>
              <w:numPr>
                <w:ilvl w:val="0"/>
                <w:numId w:val="29"/>
              </w:num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Jane Berry  (Libraries Area 2 - </w:t>
            </w:r>
            <w:smartTag w:uri="urn:schemas-microsoft-com:office:smarttags" w:element="place">
              <w:r w:rsidRPr="00765E5D">
                <w:rPr>
                  <w:rFonts w:cs="Arial"/>
                  <w:b/>
                  <w:bCs/>
                  <w:color w:val="FF0000"/>
                  <w:sz w:val="16"/>
                  <w:szCs w:val="16"/>
                  <w:lang w:eastAsia="en-GB"/>
                </w:rPr>
                <w:t>West Lancs</w:t>
              </w:r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)</w:t>
            </w:r>
          </w:p>
        </w:tc>
      </w:tr>
      <w:tr w:rsidR="00767838" w:rsidRPr="00765E5D" w:rsidTr="00E5483E">
        <w:trPr>
          <w:trHeight w:val="750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Senior Community History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Julie Creer  (Heritage)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Reading Development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Jacob Hope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767838" w:rsidRPr="00765E5D" w:rsidTr="00E5483E">
        <w:trPr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D" w:rsidRPr="00765E5D" w:rsidRDefault="00765E5D" w:rsidP="00765E5D">
            <w:pPr>
              <w:jc w:val="center"/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  <w:r w:rsidRPr="00765E5D">
              <w:rPr>
                <w:rFonts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Area Manager Libraries          (Pennine Lancs) -           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Ros Sudworth (Libraries Area 3)</w:t>
            </w:r>
          </w:p>
        </w:tc>
      </w:tr>
      <w:tr w:rsidR="00767838" w:rsidRPr="00765E5D" w:rsidTr="00E5483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Senior Business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Kathrine Baxendale    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767838" w:rsidRPr="00765E5D" w:rsidTr="00E5483E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5D" w:rsidRPr="00765E5D" w:rsidRDefault="00765E5D" w:rsidP="00765E5D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District Managers</w:t>
            </w:r>
          </w:p>
        </w:tc>
      </w:tr>
      <w:tr w:rsidR="00767838" w:rsidRPr="00765E5D" w:rsidTr="00E5483E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* Burnley -</w:t>
            </w:r>
            <w:r w:rsidRPr="00765E5D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Mary Brown  (Libraries Area 3 - </w:t>
            </w:r>
            <w:smartTag w:uri="urn:schemas-microsoft-com:office:smarttags" w:element="place">
              <w:r w:rsidRPr="00765E5D">
                <w:rPr>
                  <w:rFonts w:cs="Arial"/>
                  <w:b/>
                  <w:bCs/>
                  <w:color w:val="FF0000"/>
                  <w:sz w:val="16"/>
                  <w:szCs w:val="16"/>
                  <w:lang w:eastAsia="en-GB"/>
                </w:rPr>
                <w:t>Burnley</w:t>
              </w:r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)</w:t>
            </w:r>
          </w:p>
        </w:tc>
      </w:tr>
      <w:tr w:rsidR="00767838" w:rsidRPr="00765E5D" w:rsidTr="00E5483E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Participation Manager -   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Alison Thies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12"/>
                <w:szCs w:val="12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Hyndburn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Carol </w:t>
            </w:r>
            <w:proofErr w:type="spellStart"/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Hoskin</w:t>
            </w:r>
            <w:proofErr w:type="spellEnd"/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 (Libraries Area 3 - Hyndburn)</w:t>
            </w:r>
          </w:p>
        </w:tc>
      </w:tr>
      <w:tr w:rsidR="00767838" w:rsidRPr="00765E5D" w:rsidTr="00E5483E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Pendle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Lynne Wood (Libraries Area 3 - Pendle)</w:t>
            </w:r>
          </w:p>
        </w:tc>
      </w:tr>
      <w:tr w:rsidR="00767838" w:rsidRPr="00765E5D" w:rsidTr="00E5483E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  <w:r w:rsidRPr="00765E5D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D51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Senior Project Manager -      </w:t>
            </w:r>
          </w:p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Louisa Alston (Cultural Services HQ)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* </w:t>
            </w:r>
            <w:smartTag w:uri="urn:schemas-microsoft-com:office:smarttags" w:element="PlaceName">
              <w:r w:rsidRPr="00765E5D">
                <w:rPr>
                  <w:rFonts w:cs="Arial"/>
                  <w:sz w:val="16"/>
                  <w:szCs w:val="16"/>
                  <w:lang w:eastAsia="en-GB"/>
                </w:rPr>
                <w:t>Ribble</w:t>
              </w:r>
            </w:smartTag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smartTag w:uri="urn:schemas-microsoft-com:office:smarttags" w:element="PlaceType">
              <w:r w:rsidRPr="00765E5D">
                <w:rPr>
                  <w:rFonts w:cs="Arial"/>
                  <w:sz w:val="16"/>
                  <w:szCs w:val="16"/>
                  <w:lang w:eastAsia="en-GB"/>
                </w:rPr>
                <w:t>Valley</w:t>
              </w:r>
            </w:smartTag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Mary Palmer  (Libraries Area 1 - </w:t>
            </w:r>
            <w:smartTag w:uri="urn:schemas-microsoft-com:office:smarttags" w:element="place">
              <w:smartTag w:uri="urn:schemas-microsoft-com:office:smarttags" w:element="PlaceName">
                <w:r w:rsidRPr="00765E5D">
                  <w:rPr>
                    <w:rFonts w:cs="Arial"/>
                    <w:b/>
                    <w:bCs/>
                    <w:color w:val="FF0000"/>
                    <w:sz w:val="16"/>
                    <w:szCs w:val="16"/>
                    <w:lang w:eastAsia="en-GB"/>
                  </w:rPr>
                  <w:t>Ribble</w:t>
                </w:r>
              </w:smartTag>
              <w:r w:rsidRPr="00765E5D">
                <w:rPr>
                  <w:rFonts w:cs="Arial"/>
                  <w:b/>
                  <w:bCs/>
                  <w:color w:val="FF0000"/>
                  <w:sz w:val="16"/>
                  <w:szCs w:val="16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765E5D">
                  <w:rPr>
                    <w:rFonts w:cs="Arial"/>
                    <w:b/>
                    <w:bCs/>
                    <w:color w:val="FF0000"/>
                    <w:sz w:val="16"/>
                    <w:szCs w:val="16"/>
                    <w:lang w:eastAsia="en-GB"/>
                  </w:rPr>
                  <w:t>Valley</w:t>
                </w:r>
              </w:smartTag>
            </w:smartTag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)</w:t>
            </w:r>
          </w:p>
        </w:tc>
      </w:tr>
      <w:tr w:rsidR="00765E5D" w:rsidRPr="00765E5D" w:rsidTr="00E5483E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* Rossendale -</w:t>
            </w:r>
            <w:r w:rsidRPr="00765E5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>Nick Bury (Libraries Area 3 - Rossendale)</w:t>
            </w:r>
          </w:p>
        </w:tc>
      </w:tr>
      <w:tr w:rsidR="00765E5D" w:rsidRPr="00765E5D" w:rsidTr="00E5483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765E5D" w:rsidRPr="00765E5D" w:rsidTr="00E5483E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D" w:rsidRPr="00765E5D" w:rsidRDefault="00765E5D" w:rsidP="00765E5D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E5D" w:rsidRPr="00765E5D" w:rsidRDefault="00765E5D" w:rsidP="00765E5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765E5D">
              <w:rPr>
                <w:rFonts w:cs="Arial"/>
                <w:sz w:val="16"/>
                <w:szCs w:val="16"/>
                <w:lang w:eastAsia="en-GB"/>
              </w:rPr>
              <w:t xml:space="preserve">Libraries Collections Manager - </w:t>
            </w:r>
            <w:r w:rsidRPr="00765E5D"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Pamela Ward  (Library HQ) </w:t>
            </w:r>
          </w:p>
        </w:tc>
      </w:tr>
    </w:tbl>
    <w:p w:rsidR="00585102" w:rsidRDefault="00585102"/>
    <w:p w:rsidR="002D129C" w:rsidRDefault="002D129C"/>
    <w:p w:rsidR="002D129C" w:rsidRDefault="002D129C"/>
    <w:p w:rsidR="002D129C" w:rsidRDefault="002D129C"/>
    <w:p w:rsidR="002D129C" w:rsidRDefault="002D129C"/>
    <w:p w:rsidR="00585102" w:rsidRDefault="008B66BC">
      <w:hyperlink w:anchor="Contents" w:history="1">
        <w:r w:rsidR="00585102">
          <w:rPr>
            <w:rStyle w:val="Hyperlink"/>
          </w:rPr>
          <w:t>Back to Contents</w:t>
        </w:r>
      </w:hyperlink>
    </w:p>
    <w:p w:rsidR="002D129C" w:rsidRPr="004C677C" w:rsidRDefault="00DD0157" w:rsidP="004C677C">
      <w:pPr>
        <w:pStyle w:val="BPHeading1"/>
      </w:pPr>
      <w:bookmarkStart w:id="49" w:name="_Toc283280762"/>
      <w:r>
        <w:t>S</w:t>
      </w:r>
      <w:r w:rsidR="001376DF">
        <w:t xml:space="preserve">ervice </w:t>
      </w:r>
      <w:r w:rsidR="002D129C" w:rsidRPr="004C677C">
        <w:t>SWOT</w:t>
      </w:r>
      <w:r w:rsidR="001376DF">
        <w:t xml:space="preserve"> Analysis</w:t>
      </w:r>
      <w:bookmarkEnd w:id="49"/>
    </w:p>
    <w:p w:rsidR="00585102" w:rsidRPr="005E638E" w:rsidRDefault="00585102">
      <w:pPr>
        <w:rPr>
          <w:b/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6960"/>
      </w:tblGrid>
      <w:tr w:rsidR="00585102" w:rsidRPr="005E638E">
        <w:trPr>
          <w:trHeight w:val="2835"/>
        </w:trPr>
        <w:tc>
          <w:tcPr>
            <w:tcW w:w="5868" w:type="dxa"/>
          </w:tcPr>
          <w:p w:rsidR="00585102" w:rsidRDefault="00585102" w:rsidP="0060758C">
            <w:pPr>
              <w:pStyle w:val="Heading8"/>
              <w:spacing w:before="60"/>
              <w:rPr>
                <w:color w:val="0000FF"/>
              </w:rPr>
            </w:pPr>
            <w:r w:rsidRPr="005E638E">
              <w:rPr>
                <w:color w:val="0000FF"/>
              </w:rPr>
              <w:t>Strengths</w:t>
            </w:r>
          </w:p>
          <w:p w:rsidR="0060758C" w:rsidRPr="0060758C" w:rsidRDefault="0060758C" w:rsidP="0060758C">
            <w:pPr>
              <w:rPr>
                <w:sz w:val="16"/>
              </w:rPr>
            </w:pPr>
          </w:p>
          <w:p w:rsidR="00585102" w:rsidRDefault="00AE1DA0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Experienced, well qualified staff</w:t>
            </w:r>
          </w:p>
          <w:p w:rsidR="00AE1DA0" w:rsidRDefault="00AE1DA0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Positive staff attitudes</w:t>
            </w:r>
          </w:p>
          <w:p w:rsidR="00AE1DA0" w:rsidRDefault="00AE1DA0" w:rsidP="00AE1DA0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Our buildings are our assets – use them more</w:t>
            </w:r>
          </w:p>
          <w:p w:rsidR="00AE1DA0" w:rsidRDefault="00AE1DA0" w:rsidP="00AE1DA0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Our libraries are used by many different people for many different things – not just books</w:t>
            </w:r>
          </w:p>
          <w:p w:rsidR="00AE1DA0" w:rsidRDefault="00A2351F" w:rsidP="00AE1DA0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Political support</w:t>
            </w:r>
          </w:p>
          <w:p w:rsidR="009240ED" w:rsidRDefault="009240ED" w:rsidP="00AE1DA0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Volunteering</w:t>
            </w:r>
          </w:p>
          <w:p w:rsidR="0060758C" w:rsidRPr="00AE1DA0" w:rsidRDefault="0060758C" w:rsidP="0060758C">
            <w:pPr>
              <w:ind w:left="720"/>
              <w:rPr>
                <w:color w:val="0000FF"/>
              </w:rPr>
            </w:pPr>
          </w:p>
        </w:tc>
        <w:tc>
          <w:tcPr>
            <w:tcW w:w="6960" w:type="dxa"/>
          </w:tcPr>
          <w:p w:rsidR="00585102" w:rsidRDefault="00585102" w:rsidP="0060758C">
            <w:pPr>
              <w:pStyle w:val="Heading8"/>
              <w:spacing w:before="60"/>
              <w:rPr>
                <w:color w:val="0000FF"/>
              </w:rPr>
            </w:pPr>
            <w:r w:rsidRPr="005E638E">
              <w:rPr>
                <w:color w:val="0000FF"/>
              </w:rPr>
              <w:t>Weaknesses</w:t>
            </w:r>
          </w:p>
          <w:p w:rsidR="0060758C" w:rsidRPr="0060758C" w:rsidRDefault="0060758C" w:rsidP="0060758C">
            <w:pPr>
              <w:rPr>
                <w:sz w:val="16"/>
              </w:rPr>
            </w:pPr>
          </w:p>
          <w:p w:rsidR="00585102" w:rsidRDefault="00AC4CFA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Negative staff</w:t>
            </w:r>
          </w:p>
          <w:p w:rsidR="00AC4CFA" w:rsidRDefault="00AC4CFA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Not getting all our savings</w:t>
            </w:r>
          </w:p>
          <w:p w:rsidR="00AC4CFA" w:rsidRDefault="00A6640C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Not s</w:t>
            </w:r>
            <w:r w:rsidR="00AC4CFA">
              <w:rPr>
                <w:color w:val="0000FF"/>
              </w:rPr>
              <w:t>howing others what we do</w:t>
            </w:r>
          </w:p>
          <w:p w:rsidR="00AC4CFA" w:rsidRDefault="007155E7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>Need for capital investment when this is scarce</w:t>
            </w:r>
          </w:p>
          <w:p w:rsidR="007155E7" w:rsidRPr="005E638E" w:rsidRDefault="007155E7" w:rsidP="00A6640C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Some of our offers to customers </w:t>
            </w:r>
            <w:r w:rsidR="00A6640C">
              <w:rPr>
                <w:color w:val="0000FF"/>
              </w:rPr>
              <w:t xml:space="preserve">are </w:t>
            </w:r>
            <w:r>
              <w:rPr>
                <w:color w:val="0000FF"/>
              </w:rPr>
              <w:t xml:space="preserve">not as good/strong as </w:t>
            </w:r>
            <w:r w:rsidR="00A6640C">
              <w:rPr>
                <w:color w:val="0000FF"/>
              </w:rPr>
              <w:t xml:space="preserve">they </w:t>
            </w:r>
            <w:r>
              <w:rPr>
                <w:color w:val="0000FF"/>
              </w:rPr>
              <w:t>could be</w:t>
            </w:r>
          </w:p>
        </w:tc>
      </w:tr>
      <w:tr w:rsidR="00585102" w:rsidRPr="005E638E">
        <w:trPr>
          <w:trHeight w:val="2835"/>
        </w:trPr>
        <w:tc>
          <w:tcPr>
            <w:tcW w:w="5868" w:type="dxa"/>
          </w:tcPr>
          <w:p w:rsidR="00585102" w:rsidRPr="005E638E" w:rsidRDefault="00585102" w:rsidP="0060758C">
            <w:pPr>
              <w:pStyle w:val="Heading8"/>
              <w:spacing w:before="60"/>
              <w:rPr>
                <w:color w:val="0000FF"/>
              </w:rPr>
            </w:pPr>
            <w:r w:rsidRPr="005E638E">
              <w:rPr>
                <w:color w:val="0000FF"/>
              </w:rPr>
              <w:t>Opportunities</w:t>
            </w:r>
          </w:p>
          <w:p w:rsidR="0060758C" w:rsidRPr="0060758C" w:rsidRDefault="0060758C" w:rsidP="0060758C">
            <w:pPr>
              <w:rPr>
                <w:color w:val="0000FF"/>
                <w:sz w:val="16"/>
              </w:rPr>
            </w:pPr>
          </w:p>
          <w:p w:rsidR="007C6BBB" w:rsidRDefault="007C6BBB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Look at staff skills</w:t>
            </w:r>
          </w:p>
          <w:p w:rsidR="007C6BBB" w:rsidRDefault="007C6BBB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Sharing knowledge and skills between staff</w:t>
            </w:r>
          </w:p>
          <w:p w:rsidR="007C6BBB" w:rsidRDefault="007C6BBB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Focus on small number of initiatives</w:t>
            </w:r>
          </w:p>
          <w:p w:rsidR="007C6BBB" w:rsidRDefault="007C6BBB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Offering our resources to others to use building community capacity</w:t>
            </w:r>
          </w:p>
          <w:p w:rsidR="007C6BBB" w:rsidRDefault="000F6ED8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Customer access strategy and strategic partnership and personalisation agenda</w:t>
            </w:r>
          </w:p>
          <w:p w:rsidR="000F6ED8" w:rsidRDefault="000F6ED8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Moving forward using electronic/IT and being more electronically accessible</w:t>
            </w:r>
          </w:p>
          <w:p w:rsidR="000F6ED8" w:rsidRDefault="00A6640C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Demonstrating</w:t>
            </w:r>
            <w:r w:rsidR="000F6ED8">
              <w:rPr>
                <w:color w:val="0000FF"/>
              </w:rPr>
              <w:t xml:space="preserve"> outcomes</w:t>
            </w:r>
            <w:r>
              <w:rPr>
                <w:color w:val="0000FF"/>
              </w:rPr>
              <w:t xml:space="preserve"> widely</w:t>
            </w:r>
          </w:p>
          <w:p w:rsidR="000F6ED8" w:rsidRDefault="00D90AB7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Different business models for A</w:t>
            </w:r>
            <w:r w:rsidR="000F6ED8">
              <w:rPr>
                <w:color w:val="0000FF"/>
              </w:rPr>
              <w:t>rts</w:t>
            </w:r>
          </w:p>
          <w:p w:rsidR="000F6ED8" w:rsidRDefault="000F6ED8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To gain external funding</w:t>
            </w:r>
          </w:p>
          <w:p w:rsidR="00FF3061" w:rsidRDefault="00FF3061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Volunteering</w:t>
            </w:r>
          </w:p>
          <w:p w:rsidR="00FF3061" w:rsidRDefault="00FF3061">
            <w:pPr>
              <w:numPr>
                <w:ilvl w:val="0"/>
                <w:numId w:val="14"/>
              </w:numPr>
              <w:rPr>
                <w:color w:val="0000FF"/>
              </w:rPr>
            </w:pPr>
            <w:r>
              <w:rPr>
                <w:color w:val="0000FF"/>
              </w:rPr>
              <w:t>Other local authorities buying into our services</w:t>
            </w:r>
          </w:p>
          <w:p w:rsidR="0060758C" w:rsidRPr="005E638E" w:rsidRDefault="0060758C" w:rsidP="0060758C">
            <w:pPr>
              <w:ind w:left="720"/>
              <w:rPr>
                <w:color w:val="0000FF"/>
              </w:rPr>
            </w:pPr>
          </w:p>
        </w:tc>
        <w:tc>
          <w:tcPr>
            <w:tcW w:w="6960" w:type="dxa"/>
          </w:tcPr>
          <w:p w:rsidR="00585102" w:rsidRDefault="00585102" w:rsidP="0060758C">
            <w:pPr>
              <w:pStyle w:val="Heading8"/>
              <w:spacing w:before="60"/>
              <w:rPr>
                <w:color w:val="0000FF"/>
              </w:rPr>
            </w:pPr>
            <w:r w:rsidRPr="005E638E">
              <w:rPr>
                <w:color w:val="0000FF"/>
              </w:rPr>
              <w:t>Threats</w:t>
            </w:r>
          </w:p>
          <w:p w:rsidR="0060758C" w:rsidRPr="0060758C" w:rsidRDefault="0060758C" w:rsidP="0060758C">
            <w:pPr>
              <w:rPr>
                <w:sz w:val="16"/>
              </w:rPr>
            </w:pPr>
          </w:p>
          <w:p w:rsidR="00585102" w:rsidRDefault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Loss of staff </w:t>
            </w:r>
            <w:r w:rsidR="00A6640C">
              <w:rPr>
                <w:color w:val="0000FF"/>
              </w:rPr>
              <w:t>through Voluntary Redundancy</w:t>
            </w:r>
          </w:p>
          <w:p w:rsidR="009817BA" w:rsidRDefault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Danger of not focussing our resources</w:t>
            </w:r>
          </w:p>
          <w:p w:rsidR="009817BA" w:rsidRDefault="009817BA" w:rsidP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Uncertainty of corporate timescales, i.e. strategic partnership makes us reactive rather than proactive</w:t>
            </w:r>
          </w:p>
          <w:p w:rsidR="009817BA" w:rsidRDefault="009817BA" w:rsidP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Loss of political support</w:t>
            </w:r>
          </w:p>
          <w:p w:rsidR="009817BA" w:rsidRDefault="009817BA" w:rsidP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Delegation of budgets to schools</w:t>
            </w:r>
          </w:p>
          <w:p w:rsidR="00A75DA3" w:rsidRDefault="00A75DA3" w:rsidP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Withdrawal of some funding from other authorities</w:t>
            </w:r>
          </w:p>
          <w:p w:rsidR="00A75DA3" w:rsidRDefault="00A75DA3" w:rsidP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New situations with public due to new offer and having staff with skill to deal with it</w:t>
            </w:r>
          </w:p>
          <w:p w:rsidR="009240ED" w:rsidRDefault="009240ED" w:rsidP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Expectations of others as to what we can deliver</w:t>
            </w:r>
          </w:p>
          <w:p w:rsidR="009240ED" w:rsidRPr="009817BA" w:rsidRDefault="009240ED" w:rsidP="009817BA">
            <w:pPr>
              <w:numPr>
                <w:ilvl w:val="0"/>
                <w:numId w:val="15"/>
              </w:numPr>
              <w:rPr>
                <w:color w:val="0000FF"/>
              </w:rPr>
            </w:pPr>
            <w:r>
              <w:rPr>
                <w:color w:val="0000FF"/>
              </w:rPr>
              <w:t>Potential for tensions with partners</w:t>
            </w:r>
          </w:p>
        </w:tc>
      </w:tr>
    </w:tbl>
    <w:p w:rsidR="00585102" w:rsidRDefault="00585102"/>
    <w:p w:rsidR="002D129C" w:rsidRDefault="002D129C">
      <w:pPr>
        <w:rPr>
          <w:b/>
          <w:bCs/>
        </w:rPr>
      </w:pPr>
    </w:p>
    <w:p w:rsidR="00DD4260" w:rsidRDefault="00DD4260">
      <w:pPr>
        <w:rPr>
          <w:b/>
          <w:bCs/>
        </w:rPr>
      </w:pPr>
    </w:p>
    <w:p w:rsidR="00A53B92" w:rsidRDefault="00A53B92">
      <w:pPr>
        <w:rPr>
          <w:b/>
          <w:bCs/>
        </w:rPr>
      </w:pPr>
    </w:p>
    <w:p w:rsidR="00585102" w:rsidRDefault="00585102"/>
    <w:p w:rsidR="008F126E" w:rsidRDefault="008F126E"/>
    <w:p w:rsidR="008F126E" w:rsidRDefault="008F126E" w:rsidP="008F126E">
      <w:pPr>
        <w:pStyle w:val="BPHeading1"/>
      </w:pPr>
      <w:bookmarkStart w:id="50" w:name="_Toc283280763"/>
      <w:r>
        <w:t>Other Useful Links</w:t>
      </w:r>
      <w:bookmarkEnd w:id="50"/>
    </w:p>
    <w:p w:rsidR="00B709D9" w:rsidRDefault="00B709D9" w:rsidP="008F126E">
      <w:pPr>
        <w:pStyle w:val="BPHeading1"/>
      </w:pPr>
    </w:p>
    <w:p w:rsidR="008F126E" w:rsidRDefault="008F126E" w:rsidP="00B709D9">
      <w:pPr>
        <w:spacing w:before="120"/>
      </w:pPr>
      <w:r>
        <w:t xml:space="preserve">ACS Business Planning: </w:t>
      </w:r>
      <w:r w:rsidR="00B709D9">
        <w:t xml:space="preserve">  </w:t>
      </w:r>
      <w:hyperlink r:id="rId18" w:history="1">
        <w:r w:rsidRPr="00EA5F34">
          <w:rPr>
            <w:rStyle w:val="Hyperlink"/>
          </w:rPr>
          <w:t>http://lccintranet2/corporate/web/view.asp?siteid=3628&amp;pageid=11397</w:t>
        </w:r>
      </w:hyperlink>
    </w:p>
    <w:p w:rsidR="008F126E" w:rsidRDefault="008F126E" w:rsidP="00B709D9">
      <w:pPr>
        <w:spacing w:before="120"/>
      </w:pPr>
      <w:r>
        <w:t xml:space="preserve">Corporate Performance: </w:t>
      </w:r>
      <w:r w:rsidR="00B709D9">
        <w:t xml:space="preserve">   </w:t>
      </w:r>
      <w:hyperlink r:id="rId19" w:history="1">
        <w:r w:rsidRPr="00EA5F34">
          <w:rPr>
            <w:rStyle w:val="Hyperlink"/>
          </w:rPr>
          <w:t>http://lccintranet2/corporate/web/view.asp?siteid=2665&amp;pageid=22456&amp;e=e</w:t>
        </w:r>
      </w:hyperlink>
    </w:p>
    <w:p w:rsidR="008F126E" w:rsidRDefault="008F126E" w:rsidP="00B709D9">
      <w:pPr>
        <w:spacing w:before="120"/>
      </w:pPr>
      <w:r>
        <w:t>Corporate Risk Management:</w:t>
      </w:r>
      <w:r w:rsidR="00B709D9">
        <w:t xml:space="preserve">   </w:t>
      </w:r>
      <w:r>
        <w:t xml:space="preserve"> </w:t>
      </w:r>
      <w:hyperlink r:id="rId20" w:history="1">
        <w:r w:rsidRPr="00EA5F34">
          <w:rPr>
            <w:rStyle w:val="Hyperlink"/>
          </w:rPr>
          <w:t>http://lccintranet2/corporate/web/view.asp?siteid=2665&amp;pageid=4931&amp;e=e</w:t>
        </w:r>
      </w:hyperlink>
    </w:p>
    <w:p w:rsidR="008866DD" w:rsidRDefault="008866DD" w:rsidP="00B709D9">
      <w:pPr>
        <w:spacing w:before="120"/>
      </w:pPr>
      <w:r>
        <w:t xml:space="preserve">Corporate Impact Assessment: </w:t>
      </w:r>
      <w:r w:rsidR="00B709D9">
        <w:t xml:space="preserve">    </w:t>
      </w:r>
      <w:hyperlink r:id="rId21" w:history="1">
        <w:r w:rsidRPr="00EA5F34">
          <w:rPr>
            <w:rStyle w:val="Hyperlink"/>
          </w:rPr>
          <w:t>http://lccintranet/office_of_the_chief_executive/policy_unit/corporate_policy/corporate_impact_assessment/index.asp</w:t>
        </w:r>
      </w:hyperlink>
    </w:p>
    <w:p w:rsidR="00952AA3" w:rsidRDefault="00952AA3" w:rsidP="00B709D9">
      <w:pPr>
        <w:spacing w:before="120"/>
      </w:pPr>
      <w:r>
        <w:t>Partnerships intranet site</w:t>
      </w:r>
      <w:r w:rsidR="00B709D9">
        <w:t xml:space="preserve">:  </w:t>
      </w:r>
      <w:r>
        <w:t xml:space="preserve"> </w:t>
      </w:r>
      <w:hyperlink r:id="rId22" w:history="1">
        <w:r w:rsidRPr="00883435">
          <w:rPr>
            <w:rStyle w:val="Hyperlink"/>
          </w:rPr>
          <w:t>http://lccintranet2/corporate/web/view.asp?siteid=3833&amp;pageid=13700&amp;e=e</w:t>
        </w:r>
      </w:hyperlink>
    </w:p>
    <w:p w:rsidR="00952AA3" w:rsidRDefault="00952AA3"/>
    <w:p w:rsidR="008F126E" w:rsidRPr="008F126E" w:rsidRDefault="008F126E">
      <w:r>
        <w:t xml:space="preserve"> </w:t>
      </w:r>
    </w:p>
    <w:p w:rsidR="008F126E" w:rsidRDefault="008F126E"/>
    <w:p w:rsidR="00585102" w:rsidRDefault="00585102"/>
    <w:p w:rsidR="00585102" w:rsidRDefault="008B66BC">
      <w:hyperlink w:anchor="Contents" w:history="1">
        <w:r w:rsidR="00585102">
          <w:rPr>
            <w:rStyle w:val="Hyperlink"/>
          </w:rPr>
          <w:t>Back to Contents</w:t>
        </w:r>
      </w:hyperlink>
    </w:p>
    <w:p w:rsidR="00585102" w:rsidRDefault="00585102"/>
    <w:p w:rsidR="00585102" w:rsidRDefault="00585102"/>
    <w:p w:rsidR="00585102" w:rsidRDefault="00585102"/>
    <w:p w:rsidR="00585102" w:rsidRDefault="00585102"/>
    <w:sectPr w:rsidR="00585102" w:rsidSect="00DD4260">
      <w:headerReference w:type="default" r:id="rId23"/>
      <w:pgSz w:w="16838" w:h="11906" w:orient="landscape" w:code="9"/>
      <w:pgMar w:top="1079" w:right="1134" w:bottom="539" w:left="1134" w:header="709" w:footer="4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68" w:rsidRDefault="00172668">
      <w:r>
        <w:separator/>
      </w:r>
    </w:p>
  </w:endnote>
  <w:endnote w:type="continuationSeparator" w:id="0">
    <w:p w:rsidR="00172668" w:rsidRDefault="0017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8" w:rsidRDefault="008B66BC" w:rsidP="00D67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26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668" w:rsidRDefault="00172668" w:rsidP="00DD42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8" w:rsidRDefault="008B66BC" w:rsidP="00D67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26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27C">
      <w:rPr>
        <w:rStyle w:val="PageNumber"/>
        <w:noProof/>
      </w:rPr>
      <w:t>2</w:t>
    </w:r>
    <w:r>
      <w:rPr>
        <w:rStyle w:val="PageNumber"/>
      </w:rPr>
      <w:fldChar w:fldCharType="end"/>
    </w:r>
  </w:p>
  <w:p w:rsidR="00172668" w:rsidRDefault="00172668" w:rsidP="00DD42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68" w:rsidRDefault="00172668">
      <w:r>
        <w:separator/>
      </w:r>
    </w:p>
  </w:footnote>
  <w:footnote w:type="continuationSeparator" w:id="0">
    <w:p w:rsidR="00172668" w:rsidRDefault="0017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8" w:rsidRPr="002D2E48" w:rsidRDefault="00172668" w:rsidP="002D2E48">
    <w:pPr>
      <w:pStyle w:val="Header"/>
      <w:jc w:val="right"/>
      <w:rPr>
        <w:b/>
      </w:rPr>
    </w:pPr>
    <w:r>
      <w:rPr>
        <w:b/>
      </w:rPr>
      <w:t>Cultural Services 2011/12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8B"/>
    <w:multiLevelType w:val="hybridMultilevel"/>
    <w:tmpl w:val="792E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18A"/>
    <w:multiLevelType w:val="hybridMultilevel"/>
    <w:tmpl w:val="39B64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857247"/>
    <w:multiLevelType w:val="hybridMultilevel"/>
    <w:tmpl w:val="BDA86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864BF"/>
    <w:multiLevelType w:val="hybridMultilevel"/>
    <w:tmpl w:val="242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80B"/>
    <w:multiLevelType w:val="hybridMultilevel"/>
    <w:tmpl w:val="B0C4EB16"/>
    <w:lvl w:ilvl="0" w:tplc="86108A3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180620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11F89"/>
    <w:multiLevelType w:val="hybridMultilevel"/>
    <w:tmpl w:val="F75E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407F3"/>
    <w:multiLevelType w:val="hybridMultilevel"/>
    <w:tmpl w:val="339683AC"/>
    <w:lvl w:ilvl="0" w:tplc="06A402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C23B14"/>
    <w:multiLevelType w:val="hybridMultilevel"/>
    <w:tmpl w:val="650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6EE4"/>
    <w:multiLevelType w:val="hybridMultilevel"/>
    <w:tmpl w:val="E5C0A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670FF"/>
    <w:multiLevelType w:val="hybridMultilevel"/>
    <w:tmpl w:val="39B2B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06498"/>
    <w:multiLevelType w:val="hybridMultilevel"/>
    <w:tmpl w:val="C112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50C4"/>
    <w:multiLevelType w:val="hybridMultilevel"/>
    <w:tmpl w:val="65B4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F1D0E"/>
    <w:multiLevelType w:val="hybridMultilevel"/>
    <w:tmpl w:val="ABCAE4C6"/>
    <w:lvl w:ilvl="0" w:tplc="18062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D00FB"/>
    <w:multiLevelType w:val="hybridMultilevel"/>
    <w:tmpl w:val="8A98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54DBF"/>
    <w:multiLevelType w:val="hybridMultilevel"/>
    <w:tmpl w:val="A09628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83C7D"/>
    <w:multiLevelType w:val="hybridMultilevel"/>
    <w:tmpl w:val="74BA9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672F9"/>
    <w:multiLevelType w:val="hybridMultilevel"/>
    <w:tmpl w:val="649A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65A38"/>
    <w:multiLevelType w:val="hybridMultilevel"/>
    <w:tmpl w:val="A6684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F5F4E"/>
    <w:multiLevelType w:val="hybridMultilevel"/>
    <w:tmpl w:val="1982E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10C38"/>
    <w:multiLevelType w:val="hybridMultilevel"/>
    <w:tmpl w:val="D0BAFC14"/>
    <w:lvl w:ilvl="0" w:tplc="5952FD38">
      <w:start w:val="177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E267287"/>
    <w:multiLevelType w:val="hybridMultilevel"/>
    <w:tmpl w:val="0818E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F479D"/>
    <w:multiLevelType w:val="hybridMultilevel"/>
    <w:tmpl w:val="C46850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1F471A4"/>
    <w:multiLevelType w:val="hybridMultilevel"/>
    <w:tmpl w:val="DE76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F3648"/>
    <w:multiLevelType w:val="hybridMultilevel"/>
    <w:tmpl w:val="4E1E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9754A"/>
    <w:multiLevelType w:val="hybridMultilevel"/>
    <w:tmpl w:val="AFD8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D3EE7"/>
    <w:multiLevelType w:val="hybridMultilevel"/>
    <w:tmpl w:val="BB5C6B2C"/>
    <w:lvl w:ilvl="0" w:tplc="06A402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8C011A"/>
    <w:multiLevelType w:val="hybridMultilevel"/>
    <w:tmpl w:val="C9C07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B0D11"/>
    <w:multiLevelType w:val="hybridMultilevel"/>
    <w:tmpl w:val="F8FC7ADE"/>
    <w:lvl w:ilvl="0" w:tplc="1806209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193405A"/>
    <w:multiLevelType w:val="hybridMultilevel"/>
    <w:tmpl w:val="D8BAD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E3990"/>
    <w:multiLevelType w:val="hybridMultilevel"/>
    <w:tmpl w:val="1952C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6F3DD9"/>
    <w:multiLevelType w:val="hybridMultilevel"/>
    <w:tmpl w:val="A15E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B22B0"/>
    <w:multiLevelType w:val="hybridMultilevel"/>
    <w:tmpl w:val="009CB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A1CC4"/>
    <w:multiLevelType w:val="hybridMultilevel"/>
    <w:tmpl w:val="D6F6522C"/>
    <w:lvl w:ilvl="0" w:tplc="7DB8A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3E3DA2"/>
    <w:multiLevelType w:val="hybridMultilevel"/>
    <w:tmpl w:val="574A18AE"/>
    <w:lvl w:ilvl="0" w:tplc="86108A36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4">
    <w:nsid w:val="60502D7F"/>
    <w:multiLevelType w:val="hybridMultilevel"/>
    <w:tmpl w:val="4AA2B9E2"/>
    <w:lvl w:ilvl="0" w:tplc="5952FD38">
      <w:start w:val="177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3154D"/>
    <w:multiLevelType w:val="hybridMultilevel"/>
    <w:tmpl w:val="D08A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44C41"/>
    <w:multiLevelType w:val="hybridMultilevel"/>
    <w:tmpl w:val="180CF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47727"/>
    <w:multiLevelType w:val="hybridMultilevel"/>
    <w:tmpl w:val="C18838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A30FE6"/>
    <w:multiLevelType w:val="hybridMultilevel"/>
    <w:tmpl w:val="226C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52270"/>
    <w:multiLevelType w:val="hybridMultilevel"/>
    <w:tmpl w:val="999A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017D1"/>
    <w:multiLevelType w:val="hybridMultilevel"/>
    <w:tmpl w:val="C4244AF6"/>
    <w:lvl w:ilvl="0" w:tplc="86108A3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180620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EA6399"/>
    <w:multiLevelType w:val="hybridMultilevel"/>
    <w:tmpl w:val="D274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4F66FE"/>
    <w:multiLevelType w:val="hybridMultilevel"/>
    <w:tmpl w:val="8386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A4EE5"/>
    <w:multiLevelType w:val="hybridMultilevel"/>
    <w:tmpl w:val="FE3CFD8C"/>
    <w:lvl w:ilvl="0" w:tplc="18062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47486B"/>
    <w:multiLevelType w:val="hybridMultilevel"/>
    <w:tmpl w:val="DD686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6F6FE2"/>
    <w:multiLevelType w:val="hybridMultilevel"/>
    <w:tmpl w:val="21D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3080E"/>
    <w:multiLevelType w:val="hybridMultilevel"/>
    <w:tmpl w:val="7D466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47777"/>
    <w:multiLevelType w:val="hybridMultilevel"/>
    <w:tmpl w:val="C1CA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37B5C"/>
    <w:multiLevelType w:val="hybridMultilevel"/>
    <w:tmpl w:val="B81E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400C8"/>
    <w:multiLevelType w:val="hybridMultilevel"/>
    <w:tmpl w:val="4E42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"/>
  </w:num>
  <w:num w:numId="4">
    <w:abstractNumId w:val="40"/>
  </w:num>
  <w:num w:numId="5">
    <w:abstractNumId w:val="43"/>
  </w:num>
  <w:num w:numId="6">
    <w:abstractNumId w:val="27"/>
  </w:num>
  <w:num w:numId="7">
    <w:abstractNumId w:val="12"/>
  </w:num>
  <w:num w:numId="8">
    <w:abstractNumId w:val="44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24"/>
  </w:num>
  <w:num w:numId="14">
    <w:abstractNumId w:val="36"/>
  </w:num>
  <w:num w:numId="15">
    <w:abstractNumId w:val="8"/>
  </w:num>
  <w:num w:numId="16">
    <w:abstractNumId w:val="28"/>
  </w:num>
  <w:num w:numId="17">
    <w:abstractNumId w:val="2"/>
  </w:num>
  <w:num w:numId="18">
    <w:abstractNumId w:val="46"/>
  </w:num>
  <w:num w:numId="19">
    <w:abstractNumId w:val="17"/>
  </w:num>
  <w:num w:numId="20">
    <w:abstractNumId w:val="26"/>
  </w:num>
  <w:num w:numId="21">
    <w:abstractNumId w:val="20"/>
  </w:num>
  <w:num w:numId="22">
    <w:abstractNumId w:val="29"/>
  </w:num>
  <w:num w:numId="23">
    <w:abstractNumId w:val="9"/>
  </w:num>
  <w:num w:numId="24">
    <w:abstractNumId w:val="25"/>
  </w:num>
  <w:num w:numId="25">
    <w:abstractNumId w:val="31"/>
  </w:num>
  <w:num w:numId="26">
    <w:abstractNumId w:val="41"/>
  </w:num>
  <w:num w:numId="27">
    <w:abstractNumId w:val="37"/>
  </w:num>
  <w:num w:numId="28">
    <w:abstractNumId w:val="15"/>
  </w:num>
  <w:num w:numId="29">
    <w:abstractNumId w:val="32"/>
  </w:num>
  <w:num w:numId="30">
    <w:abstractNumId w:val="6"/>
  </w:num>
  <w:num w:numId="31">
    <w:abstractNumId w:val="19"/>
  </w:num>
  <w:num w:numId="32">
    <w:abstractNumId w:val="34"/>
  </w:num>
  <w:num w:numId="33">
    <w:abstractNumId w:val="7"/>
  </w:num>
  <w:num w:numId="34">
    <w:abstractNumId w:val="30"/>
  </w:num>
  <w:num w:numId="35">
    <w:abstractNumId w:val="42"/>
  </w:num>
  <w:num w:numId="36">
    <w:abstractNumId w:val="35"/>
  </w:num>
  <w:num w:numId="37">
    <w:abstractNumId w:val="3"/>
  </w:num>
  <w:num w:numId="38">
    <w:abstractNumId w:val="16"/>
  </w:num>
  <w:num w:numId="39">
    <w:abstractNumId w:val="48"/>
  </w:num>
  <w:num w:numId="40">
    <w:abstractNumId w:val="10"/>
  </w:num>
  <w:num w:numId="41">
    <w:abstractNumId w:val="5"/>
  </w:num>
  <w:num w:numId="42">
    <w:abstractNumId w:val="14"/>
  </w:num>
  <w:num w:numId="43">
    <w:abstractNumId w:val="0"/>
  </w:num>
  <w:num w:numId="44">
    <w:abstractNumId w:val="23"/>
  </w:num>
  <w:num w:numId="45">
    <w:abstractNumId w:val="49"/>
  </w:num>
  <w:num w:numId="46">
    <w:abstractNumId w:val="45"/>
  </w:num>
  <w:num w:numId="47">
    <w:abstractNumId w:val="38"/>
  </w:num>
  <w:num w:numId="48">
    <w:abstractNumId w:val="22"/>
  </w:num>
  <w:num w:numId="49">
    <w:abstractNumId w:val="47"/>
  </w:num>
  <w:num w:numId="50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 fillcolor="red">
      <v:fill color="red" color2="#e6dcac" rotate="t"/>
      <v:stroke weight="6pt" linestyle="thickBetweenThin"/>
      <o:colormru v:ext="edit" colors="#ff3e02,#71f571,#3c3,#99f86e,#cfc,#e5fee4,#c30,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1CBF"/>
    <w:rsid w:val="00000534"/>
    <w:rsid w:val="00015C78"/>
    <w:rsid w:val="00016088"/>
    <w:rsid w:val="000201FD"/>
    <w:rsid w:val="0002517B"/>
    <w:rsid w:val="00027F41"/>
    <w:rsid w:val="00030AB4"/>
    <w:rsid w:val="0003144E"/>
    <w:rsid w:val="00032ED1"/>
    <w:rsid w:val="000368D3"/>
    <w:rsid w:val="000421F3"/>
    <w:rsid w:val="00042E3A"/>
    <w:rsid w:val="00043B86"/>
    <w:rsid w:val="00045FBB"/>
    <w:rsid w:val="00053F90"/>
    <w:rsid w:val="000577DB"/>
    <w:rsid w:val="00061961"/>
    <w:rsid w:val="00085123"/>
    <w:rsid w:val="000857B4"/>
    <w:rsid w:val="00086039"/>
    <w:rsid w:val="000930D2"/>
    <w:rsid w:val="000E0B74"/>
    <w:rsid w:val="000E3302"/>
    <w:rsid w:val="000E454E"/>
    <w:rsid w:val="000E5CC8"/>
    <w:rsid w:val="000E7194"/>
    <w:rsid w:val="000F38C9"/>
    <w:rsid w:val="000F695C"/>
    <w:rsid w:val="000F6ED8"/>
    <w:rsid w:val="00101F34"/>
    <w:rsid w:val="00123613"/>
    <w:rsid w:val="00124C2F"/>
    <w:rsid w:val="001376DF"/>
    <w:rsid w:val="00137760"/>
    <w:rsid w:val="0014378D"/>
    <w:rsid w:val="0014393A"/>
    <w:rsid w:val="00151F1D"/>
    <w:rsid w:val="00153F56"/>
    <w:rsid w:val="0015656E"/>
    <w:rsid w:val="00170677"/>
    <w:rsid w:val="00172668"/>
    <w:rsid w:val="00180B06"/>
    <w:rsid w:val="001B7A77"/>
    <w:rsid w:val="001C7D9E"/>
    <w:rsid w:val="001D3D8C"/>
    <w:rsid w:val="001D4B0B"/>
    <w:rsid w:val="001D7425"/>
    <w:rsid w:val="001E43C8"/>
    <w:rsid w:val="001E6A25"/>
    <w:rsid w:val="001F66E0"/>
    <w:rsid w:val="00205D97"/>
    <w:rsid w:val="0021110A"/>
    <w:rsid w:val="002220B3"/>
    <w:rsid w:val="00222F14"/>
    <w:rsid w:val="002257B0"/>
    <w:rsid w:val="00230B19"/>
    <w:rsid w:val="00234453"/>
    <w:rsid w:val="00234902"/>
    <w:rsid w:val="00235E5A"/>
    <w:rsid w:val="0026120B"/>
    <w:rsid w:val="00263DEE"/>
    <w:rsid w:val="00270AB8"/>
    <w:rsid w:val="00275F42"/>
    <w:rsid w:val="00281354"/>
    <w:rsid w:val="00292539"/>
    <w:rsid w:val="002A2461"/>
    <w:rsid w:val="002A543F"/>
    <w:rsid w:val="002A544F"/>
    <w:rsid w:val="002B0BEC"/>
    <w:rsid w:val="002B2D19"/>
    <w:rsid w:val="002B2D9D"/>
    <w:rsid w:val="002B4E50"/>
    <w:rsid w:val="002B6D0D"/>
    <w:rsid w:val="002B6F12"/>
    <w:rsid w:val="002C2082"/>
    <w:rsid w:val="002D129C"/>
    <w:rsid w:val="002D2E48"/>
    <w:rsid w:val="002D3F1E"/>
    <w:rsid w:val="002D78E7"/>
    <w:rsid w:val="002D7B95"/>
    <w:rsid w:val="002E6289"/>
    <w:rsid w:val="002E6620"/>
    <w:rsid w:val="00301B30"/>
    <w:rsid w:val="00303902"/>
    <w:rsid w:val="003264D1"/>
    <w:rsid w:val="00331019"/>
    <w:rsid w:val="0034388B"/>
    <w:rsid w:val="003456EC"/>
    <w:rsid w:val="00345E08"/>
    <w:rsid w:val="00353CC6"/>
    <w:rsid w:val="00360020"/>
    <w:rsid w:val="00362F99"/>
    <w:rsid w:val="003653DF"/>
    <w:rsid w:val="003702BD"/>
    <w:rsid w:val="00370380"/>
    <w:rsid w:val="00376833"/>
    <w:rsid w:val="00395E57"/>
    <w:rsid w:val="003A0F0A"/>
    <w:rsid w:val="003A4C48"/>
    <w:rsid w:val="003B536B"/>
    <w:rsid w:val="003B5A64"/>
    <w:rsid w:val="003B6B3A"/>
    <w:rsid w:val="003B7AD0"/>
    <w:rsid w:val="003C1DB2"/>
    <w:rsid w:val="003C5BB7"/>
    <w:rsid w:val="003C79DD"/>
    <w:rsid w:val="003D2D71"/>
    <w:rsid w:val="003D3F7D"/>
    <w:rsid w:val="003E3D3C"/>
    <w:rsid w:val="003F6D51"/>
    <w:rsid w:val="003F6E2F"/>
    <w:rsid w:val="003F715E"/>
    <w:rsid w:val="00400DE0"/>
    <w:rsid w:val="004033C4"/>
    <w:rsid w:val="00410419"/>
    <w:rsid w:val="004252EE"/>
    <w:rsid w:val="004405E1"/>
    <w:rsid w:val="0044195C"/>
    <w:rsid w:val="00444F9F"/>
    <w:rsid w:val="00446C6D"/>
    <w:rsid w:val="00450D97"/>
    <w:rsid w:val="00451439"/>
    <w:rsid w:val="00462A0E"/>
    <w:rsid w:val="00463081"/>
    <w:rsid w:val="00463A01"/>
    <w:rsid w:val="00464E75"/>
    <w:rsid w:val="00465925"/>
    <w:rsid w:val="00491BCD"/>
    <w:rsid w:val="004A0476"/>
    <w:rsid w:val="004B79E5"/>
    <w:rsid w:val="004C61EB"/>
    <w:rsid w:val="004C677C"/>
    <w:rsid w:val="004D23AB"/>
    <w:rsid w:val="004E1644"/>
    <w:rsid w:val="004F0F9F"/>
    <w:rsid w:val="004F3C9D"/>
    <w:rsid w:val="00504283"/>
    <w:rsid w:val="005062D3"/>
    <w:rsid w:val="00512029"/>
    <w:rsid w:val="00515A2A"/>
    <w:rsid w:val="0051727C"/>
    <w:rsid w:val="00531CBF"/>
    <w:rsid w:val="00544266"/>
    <w:rsid w:val="005568E9"/>
    <w:rsid w:val="00585102"/>
    <w:rsid w:val="00586D8A"/>
    <w:rsid w:val="00595E57"/>
    <w:rsid w:val="005A119B"/>
    <w:rsid w:val="005A17A5"/>
    <w:rsid w:val="005A7861"/>
    <w:rsid w:val="005B20A9"/>
    <w:rsid w:val="005C7492"/>
    <w:rsid w:val="005E4FAA"/>
    <w:rsid w:val="005E638E"/>
    <w:rsid w:val="0060758C"/>
    <w:rsid w:val="006174D4"/>
    <w:rsid w:val="00627F34"/>
    <w:rsid w:val="00636C4A"/>
    <w:rsid w:val="006428DD"/>
    <w:rsid w:val="006460AE"/>
    <w:rsid w:val="006466E7"/>
    <w:rsid w:val="00666824"/>
    <w:rsid w:val="00674A0C"/>
    <w:rsid w:val="00675BD7"/>
    <w:rsid w:val="00677361"/>
    <w:rsid w:val="00681492"/>
    <w:rsid w:val="00683629"/>
    <w:rsid w:val="00686864"/>
    <w:rsid w:val="006A19B7"/>
    <w:rsid w:val="006A460F"/>
    <w:rsid w:val="006A5626"/>
    <w:rsid w:val="006B0051"/>
    <w:rsid w:val="006B060D"/>
    <w:rsid w:val="006C543E"/>
    <w:rsid w:val="006C6BD6"/>
    <w:rsid w:val="006D6770"/>
    <w:rsid w:val="006F1AA1"/>
    <w:rsid w:val="006F25BF"/>
    <w:rsid w:val="006F32E9"/>
    <w:rsid w:val="006F53F8"/>
    <w:rsid w:val="00705D13"/>
    <w:rsid w:val="00714A41"/>
    <w:rsid w:val="0071502C"/>
    <w:rsid w:val="007155E7"/>
    <w:rsid w:val="00727C0E"/>
    <w:rsid w:val="00730F42"/>
    <w:rsid w:val="00733975"/>
    <w:rsid w:val="00741FA3"/>
    <w:rsid w:val="00760E93"/>
    <w:rsid w:val="00765E5D"/>
    <w:rsid w:val="00767838"/>
    <w:rsid w:val="007727CF"/>
    <w:rsid w:val="007802AD"/>
    <w:rsid w:val="00781061"/>
    <w:rsid w:val="007818C8"/>
    <w:rsid w:val="0078767E"/>
    <w:rsid w:val="00787FDF"/>
    <w:rsid w:val="00792E36"/>
    <w:rsid w:val="00797B0F"/>
    <w:rsid w:val="007A27D7"/>
    <w:rsid w:val="007A4327"/>
    <w:rsid w:val="007C6BBB"/>
    <w:rsid w:val="007D731F"/>
    <w:rsid w:val="007D7F33"/>
    <w:rsid w:val="007E056B"/>
    <w:rsid w:val="007E0E71"/>
    <w:rsid w:val="007F3AB8"/>
    <w:rsid w:val="007F4143"/>
    <w:rsid w:val="00803ACF"/>
    <w:rsid w:val="00804BC8"/>
    <w:rsid w:val="008070F1"/>
    <w:rsid w:val="00813CC0"/>
    <w:rsid w:val="00820AA2"/>
    <w:rsid w:val="00824E30"/>
    <w:rsid w:val="00860EC1"/>
    <w:rsid w:val="00861AEA"/>
    <w:rsid w:val="008654F6"/>
    <w:rsid w:val="008714B5"/>
    <w:rsid w:val="0087589C"/>
    <w:rsid w:val="008764BE"/>
    <w:rsid w:val="00886689"/>
    <w:rsid w:val="008866DD"/>
    <w:rsid w:val="00891D68"/>
    <w:rsid w:val="008943CF"/>
    <w:rsid w:val="008A6C62"/>
    <w:rsid w:val="008B2CF5"/>
    <w:rsid w:val="008B66BC"/>
    <w:rsid w:val="008C1D43"/>
    <w:rsid w:val="008C7C88"/>
    <w:rsid w:val="008E7563"/>
    <w:rsid w:val="008E7985"/>
    <w:rsid w:val="008F126E"/>
    <w:rsid w:val="008F51F0"/>
    <w:rsid w:val="008F767A"/>
    <w:rsid w:val="00906ABD"/>
    <w:rsid w:val="00920318"/>
    <w:rsid w:val="00920BAA"/>
    <w:rsid w:val="00921C98"/>
    <w:rsid w:val="009240ED"/>
    <w:rsid w:val="00924A56"/>
    <w:rsid w:val="0092516D"/>
    <w:rsid w:val="009272C7"/>
    <w:rsid w:val="0093470A"/>
    <w:rsid w:val="00940CE8"/>
    <w:rsid w:val="00952AA3"/>
    <w:rsid w:val="00965C0D"/>
    <w:rsid w:val="00966ABF"/>
    <w:rsid w:val="0097130E"/>
    <w:rsid w:val="00972F90"/>
    <w:rsid w:val="00980A52"/>
    <w:rsid w:val="009817BA"/>
    <w:rsid w:val="00994C78"/>
    <w:rsid w:val="009B2AC9"/>
    <w:rsid w:val="009C3368"/>
    <w:rsid w:val="009D0CB3"/>
    <w:rsid w:val="009D2A1E"/>
    <w:rsid w:val="009D31EB"/>
    <w:rsid w:val="009E2690"/>
    <w:rsid w:val="009E5F41"/>
    <w:rsid w:val="009F4BDC"/>
    <w:rsid w:val="00A10441"/>
    <w:rsid w:val="00A22F78"/>
    <w:rsid w:val="00A2351F"/>
    <w:rsid w:val="00A3189E"/>
    <w:rsid w:val="00A31BBF"/>
    <w:rsid w:val="00A321A8"/>
    <w:rsid w:val="00A425FE"/>
    <w:rsid w:val="00A42CFB"/>
    <w:rsid w:val="00A4437C"/>
    <w:rsid w:val="00A5130E"/>
    <w:rsid w:val="00A52E58"/>
    <w:rsid w:val="00A53B92"/>
    <w:rsid w:val="00A612EF"/>
    <w:rsid w:val="00A6202E"/>
    <w:rsid w:val="00A62C43"/>
    <w:rsid w:val="00A6640C"/>
    <w:rsid w:val="00A679A6"/>
    <w:rsid w:val="00A711C2"/>
    <w:rsid w:val="00A754F9"/>
    <w:rsid w:val="00A75DA3"/>
    <w:rsid w:val="00A77F28"/>
    <w:rsid w:val="00A921BE"/>
    <w:rsid w:val="00A93CB8"/>
    <w:rsid w:val="00A95DC4"/>
    <w:rsid w:val="00AA2491"/>
    <w:rsid w:val="00AB58EA"/>
    <w:rsid w:val="00AC0CE0"/>
    <w:rsid w:val="00AC162C"/>
    <w:rsid w:val="00AC2705"/>
    <w:rsid w:val="00AC4A33"/>
    <w:rsid w:val="00AC4CFA"/>
    <w:rsid w:val="00AD206E"/>
    <w:rsid w:val="00AD453C"/>
    <w:rsid w:val="00AE1DA0"/>
    <w:rsid w:val="00AE1ECA"/>
    <w:rsid w:val="00AE5C1F"/>
    <w:rsid w:val="00AF03BA"/>
    <w:rsid w:val="00AF1699"/>
    <w:rsid w:val="00AF38FC"/>
    <w:rsid w:val="00AF3FD7"/>
    <w:rsid w:val="00B02E52"/>
    <w:rsid w:val="00B02EE2"/>
    <w:rsid w:val="00B060CB"/>
    <w:rsid w:val="00B073B5"/>
    <w:rsid w:val="00B23593"/>
    <w:rsid w:val="00B24162"/>
    <w:rsid w:val="00B26FF3"/>
    <w:rsid w:val="00B2704E"/>
    <w:rsid w:val="00B34B9D"/>
    <w:rsid w:val="00B34F84"/>
    <w:rsid w:val="00B35F6E"/>
    <w:rsid w:val="00B45FCF"/>
    <w:rsid w:val="00B467BE"/>
    <w:rsid w:val="00B6105D"/>
    <w:rsid w:val="00B63811"/>
    <w:rsid w:val="00B65388"/>
    <w:rsid w:val="00B709D9"/>
    <w:rsid w:val="00B7443C"/>
    <w:rsid w:val="00B75247"/>
    <w:rsid w:val="00B818C1"/>
    <w:rsid w:val="00B923C2"/>
    <w:rsid w:val="00B928F2"/>
    <w:rsid w:val="00BA02E7"/>
    <w:rsid w:val="00BA18BA"/>
    <w:rsid w:val="00BA77D3"/>
    <w:rsid w:val="00BB1BB1"/>
    <w:rsid w:val="00BC1AF9"/>
    <w:rsid w:val="00BC63DC"/>
    <w:rsid w:val="00BD083A"/>
    <w:rsid w:val="00BD4C8C"/>
    <w:rsid w:val="00BD4F79"/>
    <w:rsid w:val="00BE1015"/>
    <w:rsid w:val="00BE3BCE"/>
    <w:rsid w:val="00BE6E19"/>
    <w:rsid w:val="00C00882"/>
    <w:rsid w:val="00C03018"/>
    <w:rsid w:val="00C24AF7"/>
    <w:rsid w:val="00C24FDE"/>
    <w:rsid w:val="00C3323F"/>
    <w:rsid w:val="00C34F2B"/>
    <w:rsid w:val="00C4222B"/>
    <w:rsid w:val="00C55356"/>
    <w:rsid w:val="00C6187F"/>
    <w:rsid w:val="00C64B16"/>
    <w:rsid w:val="00C64B40"/>
    <w:rsid w:val="00C76F3E"/>
    <w:rsid w:val="00C8244E"/>
    <w:rsid w:val="00C83973"/>
    <w:rsid w:val="00C85EF2"/>
    <w:rsid w:val="00C86B67"/>
    <w:rsid w:val="00C90143"/>
    <w:rsid w:val="00C90768"/>
    <w:rsid w:val="00CA217E"/>
    <w:rsid w:val="00CC39EC"/>
    <w:rsid w:val="00CC4FD5"/>
    <w:rsid w:val="00CC5168"/>
    <w:rsid w:val="00CC6985"/>
    <w:rsid w:val="00CD239A"/>
    <w:rsid w:val="00CD3B91"/>
    <w:rsid w:val="00CD5A8B"/>
    <w:rsid w:val="00CF1468"/>
    <w:rsid w:val="00D05720"/>
    <w:rsid w:val="00D10103"/>
    <w:rsid w:val="00D14400"/>
    <w:rsid w:val="00D30166"/>
    <w:rsid w:val="00D33150"/>
    <w:rsid w:val="00D43F84"/>
    <w:rsid w:val="00D46272"/>
    <w:rsid w:val="00D5465F"/>
    <w:rsid w:val="00D65296"/>
    <w:rsid w:val="00D672D2"/>
    <w:rsid w:val="00D67D50"/>
    <w:rsid w:val="00D700BE"/>
    <w:rsid w:val="00D83E1C"/>
    <w:rsid w:val="00D86933"/>
    <w:rsid w:val="00D90AB7"/>
    <w:rsid w:val="00D94FD6"/>
    <w:rsid w:val="00D97652"/>
    <w:rsid w:val="00DA3B97"/>
    <w:rsid w:val="00DB29D4"/>
    <w:rsid w:val="00DB4D0C"/>
    <w:rsid w:val="00DD0157"/>
    <w:rsid w:val="00DD11B9"/>
    <w:rsid w:val="00DD4260"/>
    <w:rsid w:val="00DE1DF9"/>
    <w:rsid w:val="00DE4F0F"/>
    <w:rsid w:val="00E1326C"/>
    <w:rsid w:val="00E22594"/>
    <w:rsid w:val="00E22FB6"/>
    <w:rsid w:val="00E33C96"/>
    <w:rsid w:val="00E36E6A"/>
    <w:rsid w:val="00E374A3"/>
    <w:rsid w:val="00E5073F"/>
    <w:rsid w:val="00E5483E"/>
    <w:rsid w:val="00E57FCF"/>
    <w:rsid w:val="00E64966"/>
    <w:rsid w:val="00E745CF"/>
    <w:rsid w:val="00E76530"/>
    <w:rsid w:val="00E93CA5"/>
    <w:rsid w:val="00EA69A0"/>
    <w:rsid w:val="00EB403E"/>
    <w:rsid w:val="00EC1A39"/>
    <w:rsid w:val="00EC6108"/>
    <w:rsid w:val="00ED2038"/>
    <w:rsid w:val="00ED46DA"/>
    <w:rsid w:val="00EE085B"/>
    <w:rsid w:val="00EE376F"/>
    <w:rsid w:val="00EE4CF7"/>
    <w:rsid w:val="00EE60A6"/>
    <w:rsid w:val="00EF0822"/>
    <w:rsid w:val="00EF444B"/>
    <w:rsid w:val="00EF7D71"/>
    <w:rsid w:val="00F04C10"/>
    <w:rsid w:val="00F06C0A"/>
    <w:rsid w:val="00F10D17"/>
    <w:rsid w:val="00F13CBE"/>
    <w:rsid w:val="00F14310"/>
    <w:rsid w:val="00F16F1D"/>
    <w:rsid w:val="00F24D5C"/>
    <w:rsid w:val="00F34D4B"/>
    <w:rsid w:val="00F37572"/>
    <w:rsid w:val="00F41DB7"/>
    <w:rsid w:val="00F42543"/>
    <w:rsid w:val="00F46C9F"/>
    <w:rsid w:val="00F474BA"/>
    <w:rsid w:val="00F63948"/>
    <w:rsid w:val="00F6405C"/>
    <w:rsid w:val="00F72AD5"/>
    <w:rsid w:val="00F732BB"/>
    <w:rsid w:val="00F73BB7"/>
    <w:rsid w:val="00F90E89"/>
    <w:rsid w:val="00F931AE"/>
    <w:rsid w:val="00FA159C"/>
    <w:rsid w:val="00FA65B2"/>
    <w:rsid w:val="00FA69E1"/>
    <w:rsid w:val="00FB54DF"/>
    <w:rsid w:val="00FB6F5D"/>
    <w:rsid w:val="00FB7F80"/>
    <w:rsid w:val="00FC3E3C"/>
    <w:rsid w:val="00FE48B4"/>
    <w:rsid w:val="00FF0950"/>
    <w:rsid w:val="00FF2E4C"/>
    <w:rsid w:val="00F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2529" fillcolor="red">
      <v:fill color="red" color2="#e6dcac" rotate="t"/>
      <v:stroke weight="6pt" linestyle="thickBetweenThin"/>
      <o:colormru v:ext="edit" colors="#ff3e02,#71f571,#3c3,#99f86e,#cfc,#e5fee4,#c30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06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81061"/>
    <w:pPr>
      <w:keepNext/>
      <w:spacing w:before="240" w:after="60"/>
      <w:outlineLvl w:val="0"/>
    </w:pPr>
    <w:rPr>
      <w:rFonts w:cs="Arial"/>
      <w:b/>
      <w:bCs/>
      <w:color w:val="008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81061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810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1061"/>
    <w:pPr>
      <w:keepNext/>
      <w:ind w:left="360" w:hanging="3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781061"/>
    <w:pPr>
      <w:keepNext/>
      <w:jc w:val="center"/>
      <w:outlineLvl w:val="4"/>
    </w:pPr>
    <w:rPr>
      <w:rFonts w:cs="Arial"/>
      <w:b/>
      <w:bCs/>
      <w:sz w:val="28"/>
    </w:rPr>
  </w:style>
  <w:style w:type="paragraph" w:styleId="Heading6">
    <w:name w:val="heading 6"/>
    <w:basedOn w:val="Normal"/>
    <w:next w:val="Normal"/>
    <w:qFormat/>
    <w:rsid w:val="00781061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81061"/>
    <w:pPr>
      <w:keepNext/>
      <w:spacing w:before="240" w:after="120"/>
      <w:outlineLvl w:val="6"/>
    </w:pPr>
    <w:rPr>
      <w:color w:val="99CC00"/>
      <w:sz w:val="28"/>
    </w:rPr>
  </w:style>
  <w:style w:type="paragraph" w:styleId="Heading8">
    <w:name w:val="heading 8"/>
    <w:basedOn w:val="Normal"/>
    <w:next w:val="Normal"/>
    <w:qFormat/>
    <w:rsid w:val="0078106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06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81061"/>
    <w:pPr>
      <w:spacing w:before="120"/>
    </w:pPr>
    <w:rPr>
      <w:color w:val="008000"/>
      <w:sz w:val="28"/>
    </w:rPr>
  </w:style>
  <w:style w:type="paragraph" w:styleId="TOC2">
    <w:name w:val="toc 2"/>
    <w:basedOn w:val="Normal"/>
    <w:next w:val="Normal"/>
    <w:autoRedefine/>
    <w:semiHidden/>
    <w:rsid w:val="00781061"/>
    <w:pPr>
      <w:ind w:left="240"/>
    </w:pPr>
  </w:style>
  <w:style w:type="paragraph" w:customStyle="1" w:styleId="Chapters">
    <w:name w:val="Chapters"/>
    <w:basedOn w:val="Normal"/>
    <w:next w:val="Normal"/>
    <w:rsid w:val="00781061"/>
    <w:rPr>
      <w:b/>
      <w:bCs/>
      <w:outline/>
      <w:shadow/>
      <w:sz w:val="44"/>
    </w:rPr>
  </w:style>
  <w:style w:type="paragraph" w:styleId="TOC3">
    <w:name w:val="toc 3"/>
    <w:basedOn w:val="Normal"/>
    <w:next w:val="Normal"/>
    <w:autoRedefine/>
    <w:semiHidden/>
    <w:rsid w:val="006460AE"/>
    <w:rPr>
      <w:rFonts w:cs="Arial"/>
      <w:b/>
      <w:bCs/>
      <w:iCs/>
    </w:rPr>
  </w:style>
  <w:style w:type="paragraph" w:styleId="TOC4">
    <w:name w:val="toc 4"/>
    <w:basedOn w:val="Normal"/>
    <w:next w:val="Normal"/>
    <w:autoRedefine/>
    <w:semiHidden/>
    <w:rsid w:val="00781061"/>
    <w:pPr>
      <w:ind w:left="72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781061"/>
    <w:pPr>
      <w:ind w:left="96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781061"/>
    <w:pPr>
      <w:ind w:left="12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781061"/>
    <w:pPr>
      <w:ind w:left="144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781061"/>
    <w:pPr>
      <w:ind w:left="168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781061"/>
    <w:pPr>
      <w:ind w:left="1920"/>
    </w:pPr>
    <w:rPr>
      <w:rFonts w:ascii="Times New Roman" w:hAnsi="Times New Roman"/>
      <w:szCs w:val="21"/>
    </w:rPr>
  </w:style>
  <w:style w:type="paragraph" w:styleId="BodyText2">
    <w:name w:val="Body Text 2"/>
    <w:basedOn w:val="Normal"/>
    <w:rsid w:val="00781061"/>
    <w:pPr>
      <w:jc w:val="both"/>
    </w:pPr>
    <w:rPr>
      <w:rFonts w:cs="Arial"/>
    </w:rPr>
  </w:style>
  <w:style w:type="paragraph" w:styleId="Header">
    <w:name w:val="header"/>
    <w:basedOn w:val="Normal"/>
    <w:rsid w:val="00781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10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1061"/>
  </w:style>
  <w:style w:type="character" w:styleId="FollowedHyperlink">
    <w:name w:val="FollowedHyperlink"/>
    <w:basedOn w:val="DefaultParagraphFont"/>
    <w:rsid w:val="00781061"/>
    <w:rPr>
      <w:color w:val="800080"/>
      <w:u w:val="single"/>
    </w:rPr>
  </w:style>
  <w:style w:type="paragraph" w:customStyle="1" w:styleId="xl30">
    <w:name w:val="xl30"/>
    <w:basedOn w:val="Normal"/>
    <w:rsid w:val="00781061"/>
    <w:pPr>
      <w:spacing w:before="100" w:beforeAutospacing="1" w:after="100" w:afterAutospacing="1"/>
    </w:pPr>
    <w:rPr>
      <w:rFonts w:eastAsia="Arial Unicode MS" w:cs="Arial"/>
      <w:b/>
      <w:bCs/>
      <w:color w:val="666666"/>
    </w:rPr>
  </w:style>
  <w:style w:type="paragraph" w:styleId="BodyText3">
    <w:name w:val="Body Text 3"/>
    <w:basedOn w:val="Normal"/>
    <w:rsid w:val="00781061"/>
    <w:rPr>
      <w:rFonts w:cs="Arial"/>
      <w:color w:val="FF0000"/>
    </w:rPr>
  </w:style>
  <w:style w:type="paragraph" w:styleId="BodyText">
    <w:name w:val="Body Text"/>
    <w:basedOn w:val="Normal"/>
    <w:rsid w:val="00781061"/>
    <w:pPr>
      <w:jc w:val="center"/>
    </w:pPr>
    <w:rPr>
      <w:rFonts w:cs="Arial"/>
      <w:b/>
      <w:bCs/>
    </w:rPr>
  </w:style>
  <w:style w:type="paragraph" w:styleId="Caption">
    <w:name w:val="caption"/>
    <w:basedOn w:val="Normal"/>
    <w:next w:val="Normal"/>
    <w:qFormat/>
    <w:rsid w:val="00781061"/>
    <w:pPr>
      <w:spacing w:before="120" w:after="120"/>
    </w:pPr>
    <w:rPr>
      <w:b/>
      <w:bCs/>
    </w:rPr>
  </w:style>
  <w:style w:type="paragraph" w:customStyle="1" w:styleId="BPHeaders">
    <w:name w:val="BP Headers"/>
    <w:basedOn w:val="Normal"/>
    <w:rsid w:val="004C677C"/>
    <w:pPr>
      <w:ind w:left="-120"/>
    </w:pPr>
    <w:rPr>
      <w:rFonts w:cs="Arial"/>
      <w:b/>
      <w:shadow/>
      <w:color w:val="0000FF"/>
      <w:sz w:val="44"/>
    </w:rPr>
  </w:style>
  <w:style w:type="paragraph" w:customStyle="1" w:styleId="BPHeading1">
    <w:name w:val="BP Heading 1"/>
    <w:basedOn w:val="Normal"/>
    <w:rsid w:val="004C677C"/>
    <w:pPr>
      <w:spacing w:before="240" w:after="120"/>
    </w:pPr>
    <w:rPr>
      <w:b/>
      <w:bCs/>
      <w:color w:val="0000FF"/>
      <w:sz w:val="28"/>
      <w:u w:val="single"/>
    </w:rPr>
  </w:style>
  <w:style w:type="paragraph" w:customStyle="1" w:styleId="BPSubHeading">
    <w:name w:val="BP Sub Heading"/>
    <w:basedOn w:val="Heading1"/>
    <w:rsid w:val="004C677C"/>
    <w:pPr>
      <w:spacing w:before="120" w:after="120"/>
    </w:pPr>
    <w:rPr>
      <w:color w:val="0000FF"/>
      <w:sz w:val="36"/>
      <w:u w:val="single"/>
    </w:rPr>
  </w:style>
  <w:style w:type="paragraph" w:customStyle="1" w:styleId="Style1">
    <w:name w:val="Style1"/>
    <w:basedOn w:val="TOC1"/>
    <w:rsid w:val="008764BE"/>
    <w:pPr>
      <w:tabs>
        <w:tab w:val="right" w:leader="dot" w:pos="14560"/>
      </w:tabs>
    </w:pPr>
    <w:rPr>
      <w:color w:val="0000FF"/>
    </w:rPr>
  </w:style>
  <w:style w:type="paragraph" w:styleId="BalloonText">
    <w:name w:val="Balloon Text"/>
    <w:basedOn w:val="Normal"/>
    <w:semiHidden/>
    <w:rsid w:val="00DD11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43C8"/>
    <w:rPr>
      <w:sz w:val="16"/>
      <w:szCs w:val="16"/>
    </w:rPr>
  </w:style>
  <w:style w:type="paragraph" w:styleId="CommentText">
    <w:name w:val="annotation text"/>
    <w:basedOn w:val="Normal"/>
    <w:semiHidden/>
    <w:rsid w:val="001E43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43C8"/>
    <w:rPr>
      <w:b/>
      <w:bCs/>
    </w:rPr>
  </w:style>
  <w:style w:type="paragraph" w:styleId="NormalWeb">
    <w:name w:val="Normal (Web)"/>
    <w:basedOn w:val="Normal"/>
    <w:rsid w:val="005062D3"/>
    <w:pPr>
      <w:spacing w:before="240" w:after="240"/>
    </w:pPr>
    <w:rPr>
      <w:rFonts w:ascii="Times New Roman" w:hAnsi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7E0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an.watson@lancashire.gov.uk" TargetMode="External"/><Relationship Id="rId18" Type="http://schemas.openxmlformats.org/officeDocument/2006/relationships/hyperlink" Target="http://lccintranet2/corporate/web/view.asp?siteid=3628&amp;pageid=11397" TargetMode="External"/><Relationship Id="rId3" Type="http://schemas.openxmlformats.org/officeDocument/2006/relationships/styles" Target="styles.xml"/><Relationship Id="rId21" Type="http://schemas.openxmlformats.org/officeDocument/2006/relationships/hyperlink" Target="http://lccintranet/office_of_the_chief_executive/policy_unit/corporate_policy/corporate_impact_assessment/inde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ccintranet2/corporate/web/?siteid=3628&amp;pageid=11397" TargetMode="External"/><Relationship Id="rId17" Type="http://schemas.openxmlformats.org/officeDocument/2006/relationships/hyperlink" Target="http://lccintranet2/corporate/web/view.asp?siteid=3833&amp;pageid=13700&amp;e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vid.blackett@lancashire.gov.uk" TargetMode="External"/><Relationship Id="rId20" Type="http://schemas.openxmlformats.org/officeDocument/2006/relationships/hyperlink" Target="http://lccintranet2/corporate/web/view.asp?siteid=2665&amp;pageid=4931&amp;e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uce.jackson@lancashire.gov.uk" TargetMode="External"/><Relationship Id="rId23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http://lccintranet2/corporate/web/view.asp?siteid=2665&amp;pageid=22456&amp;e=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julie.bell@lancashire.gov.uk" TargetMode="External"/><Relationship Id="rId22" Type="http://schemas.openxmlformats.org/officeDocument/2006/relationships/hyperlink" Target="http://lccintranet2/corporate/web/view.asp?siteid=3833&amp;pageid=13700&amp;e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384A-E633-4D2E-9FDA-3AB92F65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3221</Words>
  <Characters>22934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Directorate</Company>
  <LinksUpToDate>false</LinksUpToDate>
  <CharactersWithSpaces>26103</CharactersWithSpaces>
  <SharedDoc>false</SharedDoc>
  <HLinks>
    <vt:vector size="246" baseType="variant">
      <vt:variant>
        <vt:i4>393244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8192034</vt:i4>
      </vt:variant>
      <vt:variant>
        <vt:i4>195</vt:i4>
      </vt:variant>
      <vt:variant>
        <vt:i4>0</vt:i4>
      </vt:variant>
      <vt:variant>
        <vt:i4>5</vt:i4>
      </vt:variant>
      <vt:variant>
        <vt:lpwstr>http://lccintranet2/corporate/web/view.asp?siteid=3833&amp;pageid=13700&amp;e=e</vt:lpwstr>
      </vt:variant>
      <vt:variant>
        <vt:lpwstr/>
      </vt:variant>
      <vt:variant>
        <vt:i4>4194335</vt:i4>
      </vt:variant>
      <vt:variant>
        <vt:i4>192</vt:i4>
      </vt:variant>
      <vt:variant>
        <vt:i4>0</vt:i4>
      </vt:variant>
      <vt:variant>
        <vt:i4>5</vt:i4>
      </vt:variant>
      <vt:variant>
        <vt:lpwstr>http://lccintranet/office_of_the_chief_executive/policy_unit/corporate_policy/corporate_impact_assessment/index.asp</vt:lpwstr>
      </vt:variant>
      <vt:variant>
        <vt:lpwstr/>
      </vt:variant>
      <vt:variant>
        <vt:i4>6619241</vt:i4>
      </vt:variant>
      <vt:variant>
        <vt:i4>189</vt:i4>
      </vt:variant>
      <vt:variant>
        <vt:i4>0</vt:i4>
      </vt:variant>
      <vt:variant>
        <vt:i4>5</vt:i4>
      </vt:variant>
      <vt:variant>
        <vt:lpwstr>http://lccintranet2/corporate/web/view.asp?siteid=2665&amp;pageid=4931&amp;e=e</vt:lpwstr>
      </vt:variant>
      <vt:variant>
        <vt:lpwstr/>
      </vt:variant>
      <vt:variant>
        <vt:i4>7405600</vt:i4>
      </vt:variant>
      <vt:variant>
        <vt:i4>186</vt:i4>
      </vt:variant>
      <vt:variant>
        <vt:i4>0</vt:i4>
      </vt:variant>
      <vt:variant>
        <vt:i4>5</vt:i4>
      </vt:variant>
      <vt:variant>
        <vt:lpwstr>http://lccintranet2/corporate/web/view.asp?siteid=2665&amp;pageid=22456&amp;e=e</vt:lpwstr>
      </vt:variant>
      <vt:variant>
        <vt:lpwstr/>
      </vt:variant>
      <vt:variant>
        <vt:i4>6815858</vt:i4>
      </vt:variant>
      <vt:variant>
        <vt:i4>183</vt:i4>
      </vt:variant>
      <vt:variant>
        <vt:i4>0</vt:i4>
      </vt:variant>
      <vt:variant>
        <vt:i4>5</vt:i4>
      </vt:variant>
      <vt:variant>
        <vt:lpwstr>http://lccintranet2/corporate/web/view.asp?siteid=3628&amp;pageid=11397</vt:lpwstr>
      </vt:variant>
      <vt:variant>
        <vt:lpwstr/>
      </vt:variant>
      <vt:variant>
        <vt:i4>393244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8192034</vt:i4>
      </vt:variant>
      <vt:variant>
        <vt:i4>168</vt:i4>
      </vt:variant>
      <vt:variant>
        <vt:i4>0</vt:i4>
      </vt:variant>
      <vt:variant>
        <vt:i4>5</vt:i4>
      </vt:variant>
      <vt:variant>
        <vt:lpwstr>http://lccintranet2/corporate/web/view.asp?siteid=3833&amp;pageid=13700&amp;e=e</vt:lpwstr>
      </vt:variant>
      <vt:variant>
        <vt:lpwstr/>
      </vt:variant>
      <vt:variant>
        <vt:i4>5308516</vt:i4>
      </vt:variant>
      <vt:variant>
        <vt:i4>165</vt:i4>
      </vt:variant>
      <vt:variant>
        <vt:i4>0</vt:i4>
      </vt:variant>
      <vt:variant>
        <vt:i4>5</vt:i4>
      </vt:variant>
      <vt:variant>
        <vt:lpwstr>mailto:david.blackett@lancashire.gov.uk</vt:lpwstr>
      </vt:variant>
      <vt:variant>
        <vt:lpwstr/>
      </vt:variant>
      <vt:variant>
        <vt:i4>7929929</vt:i4>
      </vt:variant>
      <vt:variant>
        <vt:i4>162</vt:i4>
      </vt:variant>
      <vt:variant>
        <vt:i4>0</vt:i4>
      </vt:variant>
      <vt:variant>
        <vt:i4>5</vt:i4>
      </vt:variant>
      <vt:variant>
        <vt:lpwstr>mailto:bruce.jackson@lancashire.gov.uk</vt:lpwstr>
      </vt:variant>
      <vt:variant>
        <vt:lpwstr/>
      </vt:variant>
      <vt:variant>
        <vt:i4>5636199</vt:i4>
      </vt:variant>
      <vt:variant>
        <vt:i4>159</vt:i4>
      </vt:variant>
      <vt:variant>
        <vt:i4>0</vt:i4>
      </vt:variant>
      <vt:variant>
        <vt:i4>5</vt:i4>
      </vt:variant>
      <vt:variant>
        <vt:lpwstr>mailto:julie.bell@lancashire.gov.uk</vt:lpwstr>
      </vt:variant>
      <vt:variant>
        <vt:lpwstr/>
      </vt:variant>
      <vt:variant>
        <vt:i4>5242991</vt:i4>
      </vt:variant>
      <vt:variant>
        <vt:i4>156</vt:i4>
      </vt:variant>
      <vt:variant>
        <vt:i4>0</vt:i4>
      </vt:variant>
      <vt:variant>
        <vt:i4>5</vt:i4>
      </vt:variant>
      <vt:variant>
        <vt:lpwstr>mailto:ian.watson@lancashire.gov.uk</vt:lpwstr>
      </vt:variant>
      <vt:variant>
        <vt:lpwstr/>
      </vt:variant>
      <vt:variant>
        <vt:i4>393244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6750268</vt:i4>
      </vt:variant>
      <vt:variant>
        <vt:i4>150</vt:i4>
      </vt:variant>
      <vt:variant>
        <vt:i4>0</vt:i4>
      </vt:variant>
      <vt:variant>
        <vt:i4>5</vt:i4>
      </vt:variant>
      <vt:variant>
        <vt:lpwstr>http://lccintranet2/corporate/web/?siteid=3628&amp;pageid=11397</vt:lpwstr>
      </vt:variant>
      <vt:variant>
        <vt:lpwstr/>
      </vt:variant>
      <vt:variant>
        <vt:i4>1769534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_Toc283280763</vt:lpwstr>
      </vt:variant>
      <vt:variant>
        <vt:i4>1769534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_Toc283280762</vt:lpwstr>
      </vt:variant>
      <vt:variant>
        <vt:i4>1769534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_Toc283280761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_Toc283280760</vt:lpwstr>
      </vt:variant>
      <vt:variant>
        <vt:i4>1572926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_Toc283280759</vt:lpwstr>
      </vt:variant>
      <vt:variant>
        <vt:i4>1572926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_Toc283280758</vt:lpwstr>
      </vt:variant>
      <vt:variant>
        <vt:i4>1572926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_Toc283280757</vt:lpwstr>
      </vt:variant>
      <vt:variant>
        <vt:i4>1572926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_Toc283280756</vt:lpwstr>
      </vt:variant>
      <vt:variant>
        <vt:i4>1572926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_Toc283280755</vt:lpwstr>
      </vt:variant>
      <vt:variant>
        <vt:i4>1572926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_Toc283280754</vt:lpwstr>
      </vt:variant>
      <vt:variant>
        <vt:i4>1572926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_Toc283280753</vt:lpwstr>
      </vt:variant>
      <vt:variant>
        <vt:i4>1572926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_Toc283280752</vt:lpwstr>
      </vt:variant>
      <vt:variant>
        <vt:i4>1572926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_Toc283280751</vt:lpwstr>
      </vt:variant>
      <vt:variant>
        <vt:i4>1572926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_Toc283280750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_Toc283280749</vt:lpwstr>
      </vt:variant>
      <vt:variant>
        <vt:i4>1638462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_Toc283280748</vt:lpwstr>
      </vt:variant>
      <vt:variant>
        <vt:i4>1638462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_Toc283280747</vt:lpwstr>
      </vt:variant>
      <vt:variant>
        <vt:i4>1638462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_Toc283280746</vt:lpwstr>
      </vt:variant>
      <vt:variant>
        <vt:i4>1638462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_Toc283280745</vt:lpwstr>
      </vt:variant>
      <vt:variant>
        <vt:i4>1638462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_Toc283280744</vt:lpwstr>
      </vt:variant>
      <vt:variant>
        <vt:i4>1638462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_Toc283280743</vt:lpwstr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_Toc283280742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_Toc283280741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_Toc283280740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AJONES</dc:creator>
  <cp:keywords/>
  <cp:lastModifiedBy>User</cp:lastModifiedBy>
  <cp:revision>7</cp:revision>
  <cp:lastPrinted>2011-09-27T10:23:00Z</cp:lastPrinted>
  <dcterms:created xsi:type="dcterms:W3CDTF">2011-09-27T10:17:00Z</dcterms:created>
  <dcterms:modified xsi:type="dcterms:W3CDTF">2011-09-28T12:04:00Z</dcterms:modified>
</cp:coreProperties>
</file>